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Hlk115189178"/>
      <w:bookmarkEnd w:id="0"/>
      <w:bookmarkStart w:id="1" w:name="_Hlk163464538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11</w:t>
      </w:r>
      <w:r>
        <w:rPr>
          <w:rFonts w:hint="eastAsia"/>
          <w:b/>
          <w:sz w:val="24"/>
          <w:highlight w:val="none"/>
          <w:lang w:val="en-US" w:eastAsia="zh-CN"/>
        </w:rPr>
        <w:t>6bis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1399</w:t>
      </w:r>
      <w:r>
        <w:rPr>
          <w:rFonts w:hint="eastAsia"/>
          <w:b/>
          <w:sz w:val="24"/>
          <w:lang w:val="en-US" w:eastAsia="zh-CN"/>
        </w:rPr>
        <w:t>8</w:t>
      </w:r>
      <w:bookmarkStart w:id="12" w:name="_GoBack"/>
      <w:bookmarkEnd w:id="12"/>
    </w:p>
    <w:p>
      <w:pPr>
        <w:pStyle w:val="117"/>
        <w:outlineLvl w:val="0"/>
        <w:rPr>
          <w:rFonts w:hint="default"/>
          <w:b/>
          <w:sz w:val="24"/>
          <w:highlight w:val="none"/>
          <w:lang w:val="en-US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cs="Arial"/>
          <w:b/>
          <w:sz w:val="24"/>
          <w:szCs w:val="24"/>
          <w:highlight w:val="none"/>
          <w:lang w:val="en-US" w:eastAsia="zh-CN"/>
        </w:rPr>
        <w:t>Prague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CZ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Oct.</w:t>
      </w:r>
      <w:r>
        <w:rPr>
          <w:b/>
          <w:sz w:val="24"/>
          <w:highlight w:val="none"/>
        </w:rPr>
        <w:t xml:space="preserve"> 2025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Oct.</w:t>
      </w:r>
      <w:r>
        <w:rPr>
          <w:b/>
          <w:sz w:val="24"/>
          <w:highlight w:val="none"/>
        </w:rPr>
        <w:t xml:space="preserve"> 2025</w:t>
      </w:r>
      <w:r>
        <w:rPr>
          <w:b/>
          <w:sz w:val="24"/>
          <w:highlight w:val="none"/>
        </w:rPr>
        <w:fldChar w:fldCharType="end"/>
      </w:r>
    </w:p>
    <w:p>
      <w:pPr>
        <w:spacing w:after="120"/>
        <w:ind w:left="1985" w:hanging="1985"/>
        <w:rPr>
          <w:rFonts w:ascii="Arial" w:hAnsi="Arial" w:cs="Arial"/>
          <w:b/>
          <w:sz w:val="24"/>
          <w:highlight w:val="none"/>
        </w:rPr>
      </w:pPr>
    </w:p>
    <w:bookmarkEnd w:id="1"/>
    <w:p>
      <w:pPr>
        <w:spacing w:after="120"/>
        <w:ind w:left="1985" w:hanging="1985"/>
        <w:rPr>
          <w:rFonts w:hint="default" w:ascii="Arial" w:hAnsi="Arial" w:eastAsia="宋体" w:cs="Arial"/>
          <w:color w:val="000000"/>
          <w:highlight w:val="none"/>
          <w:lang w:val="en-US" w:eastAsia="zh-CN"/>
        </w:rPr>
      </w:pPr>
      <w:r>
        <w:rPr>
          <w:rFonts w:ascii="Arial" w:hAnsi="Arial" w:eastAsia="MS Mincho" w:cs="Arial"/>
          <w:b/>
          <w:highlight w:val="none"/>
        </w:rPr>
        <w:t>Source:</w:t>
      </w:r>
      <w:r>
        <w:rPr>
          <w:rFonts w:ascii="Arial" w:hAnsi="Arial" w:eastAsia="MS Mincho" w:cs="Arial"/>
          <w:b/>
          <w:highlight w:val="none"/>
        </w:rPr>
        <w:tab/>
      </w:r>
      <w:r>
        <w:rPr>
          <w:rFonts w:hint="eastAsia" w:ascii="Arial" w:hAnsi="Arial" w:eastAsia="宋体" w:cs="Arial"/>
          <w:color w:val="000000"/>
          <w:highlight w:val="none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highlight w:val="none"/>
        </w:rPr>
      </w:pPr>
      <w:r>
        <w:rPr>
          <w:rFonts w:ascii="Arial" w:hAnsi="Arial" w:eastAsia="MS Mincho" w:cs="Arial"/>
          <w:b/>
          <w:color w:val="000000"/>
          <w:highlight w:val="none"/>
        </w:rPr>
        <w:t>Title:</w:t>
      </w:r>
      <w:r>
        <w:rPr>
          <w:rFonts w:ascii="Arial" w:hAnsi="Arial" w:eastAsia="MS Mincho" w:cs="Arial"/>
          <w:b/>
          <w:color w:val="000000"/>
          <w:highlight w:val="none"/>
        </w:rPr>
        <w:tab/>
      </w:r>
      <w:r>
        <w:rPr>
          <w:rFonts w:hint="eastAsia" w:ascii="Arial" w:hAnsi="Arial" w:cs="Arial" w:eastAsiaTheme="minorEastAsia"/>
          <w:color w:val="000000"/>
          <w:highlight w:val="none"/>
        </w:rPr>
        <w:t>Work</w:t>
      </w:r>
      <w:r>
        <w:rPr>
          <w:rFonts w:hint="eastAsia" w:ascii="Arial" w:hAnsi="Arial" w:cs="Arial" w:eastAsiaTheme="minorEastAsia"/>
          <w:color w:val="000000"/>
          <w:highlight w:val="none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color w:val="000000"/>
          <w:highlight w:val="none"/>
        </w:rPr>
        <w:t>plan for Rel-20 BS RF requirement evolution for FR1 and testing</w:t>
      </w:r>
      <w:r>
        <w:rPr>
          <w:rFonts w:hint="eastAsia" w:ascii="Arial" w:hAnsi="Arial" w:cs="Arial" w:eastAsiaTheme="minorEastAsia"/>
          <w:color w:val="000000"/>
          <w:highlight w:val="none"/>
          <w:lang w:val="en-US" w:eastAsia="zh-CN"/>
        </w:rPr>
        <w:t>,</w:t>
      </w:r>
      <w:r>
        <w:rPr>
          <w:rFonts w:hint="eastAsia" w:ascii="Arial" w:hAnsi="Arial" w:cs="Arial" w:eastAsiaTheme="minorEastAsia"/>
          <w:color w:val="000000"/>
          <w:highlight w:val="none"/>
        </w:rPr>
        <w:t xml:space="preserve"> phase 2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eastAsia="宋体" w:cs="Arial"/>
          <w:bCs/>
          <w:color w:val="000000"/>
          <w:highlight w:val="none"/>
          <w:lang w:val="en-US" w:eastAsia="zh-CN"/>
        </w:rPr>
      </w:pPr>
      <w:r>
        <w:rPr>
          <w:rFonts w:ascii="Arial" w:hAnsi="Arial" w:eastAsia="MS Mincho" w:cs="Arial"/>
          <w:b/>
          <w:color w:val="000000"/>
          <w:highlight w:val="none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highlight w:val="none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highlight w:val="none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highlight w:val="none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highlight w:val="none"/>
          <w:lang w:val="en-US" w:eastAsia="zh-CN"/>
        </w:rPr>
        <w:t>7.2.2</w:t>
      </w:r>
    </w:p>
    <w:p>
      <w:pPr>
        <w:spacing w:after="120"/>
        <w:ind w:left="1985" w:hanging="1985"/>
        <w:rPr>
          <w:rFonts w:ascii="Arial" w:hAnsi="Arial" w:cs="Arial" w:eastAsiaTheme="minorEastAsia"/>
          <w:highlight w:val="none"/>
          <w:lang w:val="en-AU" w:eastAsia="zh-CN"/>
        </w:rPr>
      </w:pPr>
      <w:r>
        <w:rPr>
          <w:rFonts w:ascii="Arial" w:hAnsi="Arial" w:eastAsia="MS Mincho" w:cs="Arial"/>
          <w:b/>
          <w:color w:val="000000"/>
          <w:highlight w:val="none"/>
        </w:rPr>
        <w:t>Document for:</w:t>
      </w:r>
      <w:r>
        <w:rPr>
          <w:rFonts w:ascii="Arial" w:hAnsi="Arial" w:eastAsia="MS Mincho" w:cs="Arial"/>
          <w:b/>
          <w:color w:val="000000"/>
          <w:highlight w:val="none"/>
        </w:rPr>
        <w:tab/>
      </w:r>
      <w:r>
        <w:rPr>
          <w:rFonts w:ascii="Arial" w:hAnsi="Arial" w:eastAsia="MS Mincho" w:cs="Arial"/>
          <w:color w:val="000000"/>
          <w:highlight w:val="none"/>
          <w:lang w:eastAsia="ja-JP"/>
        </w:rPr>
        <w:t>Approval</w:t>
      </w:r>
    </w:p>
    <w:p>
      <w:pPr>
        <w:keepNext/>
        <w:keepLines/>
        <w:pBdr>
          <w:top w:val="single" w:color="auto" w:sz="12" w:space="6"/>
        </w:pBdr>
        <w:spacing w:before="240"/>
        <w:ind w:left="1134" w:hanging="1134"/>
        <w:outlineLvl w:val="0"/>
        <w:rPr>
          <w:rFonts w:ascii="Arial" w:hAnsi="Arial" w:eastAsiaTheme="minorEastAsia"/>
          <w:sz w:val="36"/>
          <w:highlight w:val="none"/>
          <w:lang w:val="en-AU" w:eastAsia="zh-CN"/>
        </w:rPr>
      </w:pPr>
      <w:r>
        <w:rPr>
          <w:rFonts w:hint="eastAsia" w:ascii="Arial" w:hAnsi="Arial" w:eastAsia="MS Mincho"/>
          <w:sz w:val="36"/>
          <w:highlight w:val="none"/>
          <w:lang w:eastAsia="ja-JP"/>
        </w:rPr>
        <w:t>1. Introduction</w:t>
      </w:r>
    </w:p>
    <w:p>
      <w:pPr>
        <w:rPr>
          <w:rFonts w:hint="default" w:ascii="Times New Roman" w:hAnsi="Times New Roman" w:cs="Times New Roman"/>
          <w:iCs/>
          <w:highlight w:val="none"/>
        </w:rPr>
      </w:pPr>
      <w:r>
        <w:rPr>
          <w:rFonts w:hint="default" w:ascii="Times New Roman" w:hAnsi="Times New Roman" w:cs="Times New Roman"/>
          <w:iCs/>
          <w:highlight w:val="none"/>
        </w:rPr>
        <w:t>The work it</w:t>
      </w:r>
      <w:r>
        <w:rPr>
          <w:rFonts w:hint="default" w:ascii="Times New Roman" w:hAnsi="Times New Roman" w:eastAsia="宋体" w:cs="Times New Roman"/>
          <w:iCs/>
          <w:highlight w:val="none"/>
          <w:lang w:val="en-US" w:eastAsia="zh-CN"/>
        </w:rPr>
        <w:t>em for Rel-20 BS RF requirement evolution for FR1 and testing</w:t>
      </w:r>
      <w:r>
        <w:rPr>
          <w:rFonts w:hint="eastAsia" w:ascii="Times New Roman" w:hAnsi="Times New Roman" w:eastAsia="宋体" w:cs="Times New Roman"/>
          <w:iCs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iCs/>
          <w:highlight w:val="none"/>
          <w:lang w:val="en-US" w:eastAsia="zh-CN"/>
        </w:rPr>
        <w:t xml:space="preserve"> phase 2 </w:t>
      </w:r>
      <w:r>
        <w:rPr>
          <w:rFonts w:hint="default" w:ascii="Times New Roman" w:hAnsi="Times New Roman" w:cs="Times New Roman"/>
          <w:iCs/>
          <w:highlight w:val="none"/>
        </w:rPr>
        <w:t>concentrates on 2 work areas for BS RF requirement evolution. They are</w:t>
      </w:r>
    </w:p>
    <w:p>
      <w:pPr>
        <w:numPr>
          <w:ilvl w:val="0"/>
          <w:numId w:val="1"/>
        </w:numPr>
        <w:spacing w:after="0"/>
        <w:rPr>
          <w:rFonts w:hint="default" w:ascii="Times New Roman" w:hAnsi="Times New Roman" w:cs="Times New Roman"/>
          <w:bCs/>
          <w:highlight w:val="none"/>
          <w:lang w:val="en-US"/>
        </w:rPr>
      </w:pPr>
      <w:r>
        <w:rPr>
          <w:rFonts w:hint="default" w:ascii="Times New Roman" w:hAnsi="Times New Roman" w:cs="Times New Roman"/>
          <w:bCs/>
          <w:highlight w:val="none"/>
        </w:rPr>
        <w:t xml:space="preserve">Co-location requirements enhancement: 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bCs/>
          <w:highlight w:val="none"/>
        </w:rPr>
      </w:pPr>
      <w:r>
        <w:rPr>
          <w:rFonts w:hint="default" w:ascii="Times New Roman" w:hAnsi="Times New Roman" w:cs="Times New Roman"/>
          <w:bCs/>
          <w:highlight w:val="none"/>
        </w:rPr>
        <w:t>SBFD BS to SBFD BS adjacent channel coexistence</w:t>
      </w:r>
    </w:p>
    <w:p>
      <w:pPr>
        <w:spacing w:before="120" w:after="120"/>
        <w:jc w:val="both"/>
        <w:rPr>
          <w:rFonts w:hint="eastAsia" w:ascii="Times New Roman" w:hAnsi="Times New Roman" w:eastAsia="宋体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highlight w:val="none"/>
          <w:lang w:val="en-US" w:eastAsia="zh-CN"/>
        </w:rPr>
        <w:t>The objectives in the latest WID in [1] are: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highlight w:val="none"/>
              </w:rPr>
            </w:pPr>
            <w:bookmarkStart w:id="2" w:name="OLE_LINK4"/>
            <w:r>
              <w:rPr>
                <w:b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numPr>
                <w:ilvl w:val="0"/>
                <w:numId w:val="2"/>
              </w:numPr>
              <w:spacing w:after="0"/>
              <w:ind w:firstLineChars="0"/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Enhancement of co-location requirements for BS type 1-O for upper 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frequencies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of FR1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targeting above 3.3GHz</w:t>
            </w:r>
          </w:p>
          <w:p>
            <w:pPr>
              <w:pStyle w:val="149"/>
              <w:numPr>
                <w:ilvl w:val="1"/>
                <w:numId w:val="2"/>
              </w:numPr>
              <w:spacing w:after="0"/>
              <w:ind w:left="993" w:firstLineChars="0"/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Evaluate impact of Rel-19 </w:t>
            </w:r>
            <w:r>
              <w:rPr>
                <w:highlight w:val="none"/>
              </w:rPr>
              <w:t xml:space="preserve">BS-to-BS isolation findings </w:t>
            </w:r>
            <w:r>
              <w:rPr>
                <w:highlight w:val="none"/>
                <w:lang w:val="en-US" w:eastAsia="zh-CN"/>
              </w:rPr>
              <w:t>captured in TR 37.941</w:t>
            </w:r>
            <w:r>
              <w:rPr>
                <w:highlight w:val="none"/>
              </w:rPr>
              <w:t xml:space="preserve"> (</w:t>
            </w:r>
            <w:r>
              <w:rPr>
                <w:highlight w:val="none"/>
                <w:lang w:val="en-US" w:eastAsia="zh-CN"/>
              </w:rPr>
              <w:t>clause 6.4.4</w:t>
            </w:r>
            <w:r>
              <w:rPr>
                <w:highlight w:val="none"/>
              </w:rPr>
              <w:t xml:space="preserve">)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on OTA 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co-location requirements.</w:t>
            </w:r>
          </w:p>
          <w:p>
            <w:pPr>
              <w:pStyle w:val="149"/>
              <w:numPr>
                <w:ilvl w:val="2"/>
                <w:numId w:val="2"/>
              </w:numPr>
              <w:spacing w:after="0"/>
              <w:ind w:left="1418" w:firstLineChars="0"/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Consider impact on the 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following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OTA co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noBreakHyphen/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location 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requirements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>
            <w:pPr>
              <w:pStyle w:val="149"/>
              <w:numPr>
                <w:ilvl w:val="3"/>
                <w:numId w:val="2"/>
              </w:numPr>
              <w:spacing w:after="0"/>
              <w:ind w:left="1843" w:hanging="425" w:firstLineChars="0"/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Transmitter OFF power requirement</w:t>
            </w:r>
          </w:p>
          <w:p>
            <w:pPr>
              <w:pStyle w:val="149"/>
              <w:numPr>
                <w:ilvl w:val="3"/>
                <w:numId w:val="2"/>
              </w:numPr>
              <w:spacing w:after="0"/>
              <w:ind w:left="1843" w:hanging="425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Transmitter co-location spurious emission requirement</w:t>
            </w:r>
          </w:p>
          <w:p>
            <w:pPr>
              <w:pStyle w:val="149"/>
              <w:numPr>
                <w:ilvl w:val="3"/>
                <w:numId w:val="2"/>
              </w:numPr>
              <w:spacing w:after="0"/>
              <w:ind w:left="1843" w:hanging="425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Transmitter intermodulation requirement</w:t>
            </w:r>
          </w:p>
          <w:p>
            <w:pPr>
              <w:pStyle w:val="149"/>
              <w:numPr>
                <w:ilvl w:val="3"/>
                <w:numId w:val="2"/>
              </w:numPr>
              <w:spacing w:after="0"/>
              <w:ind w:left="1843" w:hanging="425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Co-location OOBB requirement</w:t>
            </w:r>
          </w:p>
          <w:p>
            <w:pPr>
              <w:pStyle w:val="149"/>
              <w:numPr>
                <w:ilvl w:val="1"/>
                <w:numId w:val="2"/>
              </w:numPr>
              <w:spacing w:after="0"/>
              <w:ind w:left="993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Enhance OTA co-location requirements</w:t>
            </w:r>
          </w:p>
          <w:p>
            <w:pPr>
              <w:pStyle w:val="149"/>
              <w:numPr>
                <w:ilvl w:val="2"/>
                <w:numId w:val="2"/>
              </w:numPr>
              <w:spacing w:after="0"/>
              <w:ind w:left="1418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Improve the core requirements with reasonable expected BS-to-BS isolation for the upper FR1 frequencies. Two options will be considered</w:t>
            </w:r>
          </w:p>
          <w:p>
            <w:pPr>
              <w:pStyle w:val="149"/>
              <w:numPr>
                <w:ilvl w:val="3"/>
                <w:numId w:val="2"/>
              </w:numPr>
              <w:spacing w:after="0"/>
              <w:ind w:left="1843" w:hanging="425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Option 1: Investigate and improve CLRA concept</w:t>
            </w:r>
          </w:p>
          <w:p>
            <w:pPr>
              <w:pStyle w:val="149"/>
              <w:numPr>
                <w:ilvl w:val="3"/>
                <w:numId w:val="2"/>
              </w:numPr>
              <w:ind w:left="1843" w:hanging="425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Option 2: Investigate possibility to define requirements using the existing OTA 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metrics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(such as TRP, EIRP, EIS), if any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2"/>
              </w:numPr>
              <w:spacing w:after="0"/>
              <w:ind w:firstLineChars="0"/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SBFD BS to SBFD BS adjacent channel coexistence</w:t>
            </w:r>
          </w:p>
          <w:p>
            <w:pPr>
              <w:pStyle w:val="149"/>
              <w:numPr>
                <w:ilvl w:val="1"/>
                <w:numId w:val="2"/>
              </w:numPr>
              <w:spacing w:after="0"/>
              <w:ind w:left="993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Focus on FR1 WA. </w:t>
            </w:r>
          </w:p>
          <w:p>
            <w:pPr>
              <w:pStyle w:val="149"/>
              <w:numPr>
                <w:ilvl w:val="1"/>
                <w:numId w:val="2"/>
              </w:numPr>
              <w:spacing w:after="0"/>
              <w:ind w:left="993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Consider both scenarios including SBFD capable BS being co-located and non-collocated.</w:t>
            </w:r>
          </w:p>
          <w:p>
            <w:pPr>
              <w:pStyle w:val="149"/>
              <w:numPr>
                <w:ilvl w:val="1"/>
                <w:numId w:val="2"/>
              </w:numPr>
              <w:spacing w:after="0"/>
              <w:ind w:left="993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Focus on bands: n104, n79, n41. </w:t>
            </w:r>
          </w:p>
          <w:p>
            <w:pPr>
              <w:pStyle w:val="149"/>
              <w:numPr>
                <w:ilvl w:val="1"/>
                <w:numId w:val="2"/>
              </w:numPr>
              <w:spacing w:after="0"/>
              <w:ind w:left="993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Specify necessary (and if feasible) BS TX and RX RF requirement for SBFD-capable BS for the scenarios of SBFD BS to SBFD BS adjacent channel coexistence. The BS RF requirements include</w:t>
            </w:r>
          </w:p>
          <w:p>
            <w:pPr>
              <w:pStyle w:val="149"/>
              <w:numPr>
                <w:ilvl w:val="2"/>
                <w:numId w:val="2"/>
              </w:numPr>
              <w:spacing w:after="0"/>
              <w:ind w:left="1418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TX unwanted emission</w:t>
            </w:r>
          </w:p>
          <w:p>
            <w:pPr>
              <w:pStyle w:val="149"/>
              <w:numPr>
                <w:ilvl w:val="2"/>
                <w:numId w:val="2"/>
              </w:numPr>
              <w:spacing w:after="0"/>
              <w:ind w:left="1418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RX in-band blocking</w:t>
            </w:r>
          </w:p>
          <w:p>
            <w:pPr>
              <w:pStyle w:val="149"/>
              <w:numPr>
                <w:ilvl w:val="1"/>
                <w:numId w:val="2"/>
              </w:numPr>
              <w:spacing w:after="0"/>
              <w:ind w:left="993" w:firstLineChars="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Note 1: whether to comply with requirements is declared by BS.</w:t>
            </w:r>
          </w:p>
          <w:p>
            <w:pPr>
              <w:pStyle w:val="149"/>
              <w:numPr>
                <w:ilvl w:val="1"/>
                <w:numId w:val="2"/>
              </w:numPr>
              <w:ind w:left="998" w:hanging="442" w:firstLineChars="0"/>
              <w:rPr>
                <w:rFonts w:hint="default" w:ascii="Times New Roman" w:hAnsi="Times New Roman" w:eastAsia="宋体"/>
                <w:highlight w:val="none"/>
                <w:vertAlign w:val="baseline"/>
                <w:lang w:val="en-US" w:eastAsia="zh-CN"/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Note 2: The existing TDD requirements apply for non-SBFD BSs</w:t>
            </w:r>
            <w:bookmarkEnd w:id="2"/>
          </w:p>
        </w:tc>
      </w:tr>
    </w:tbl>
    <w:p>
      <w:pPr>
        <w:spacing w:before="120" w:after="180"/>
        <w:jc w:val="both"/>
        <w:rPr>
          <w:rFonts w:ascii="Times New Roman" w:hAnsi="Times New Roman" w:eastAsiaTheme="minorEastAsia"/>
          <w:highlight w:val="none"/>
          <w:lang w:eastAsia="zh-CN"/>
        </w:rPr>
      </w:pPr>
      <w:r>
        <w:rPr>
          <w:rFonts w:ascii="Times New Roman" w:hAnsi="Times New Roman"/>
          <w:highlight w:val="none"/>
        </w:rPr>
        <w:t>Accordingly, the work plan is provided in the following section.</w:t>
      </w:r>
      <w:r>
        <w:rPr>
          <w:rFonts w:ascii="Times New Roman" w:hAnsi="Times New Roman" w:eastAsiaTheme="minorEastAsia"/>
          <w:highlight w:val="none"/>
          <w:lang w:eastAsia="zh-CN"/>
        </w:rPr>
        <w:t xml:space="preserve">  </w:t>
      </w:r>
    </w:p>
    <w:p>
      <w:pPr>
        <w:pStyle w:val="2"/>
        <w:tabs>
          <w:tab w:val="left" w:pos="522"/>
        </w:tabs>
        <w:ind w:left="522" w:hanging="522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highlight w:val="none"/>
          <w:lang w:val="en-US" w:eastAsia="zh-CN"/>
        </w:rPr>
        <w:t xml:space="preserve">Work Plan </w:t>
      </w:r>
    </w:p>
    <w:p>
      <w:pPr>
        <w:spacing w:after="180"/>
        <w:jc w:val="both"/>
        <w:rPr>
          <w:rFonts w:hint="eastAsia" w:ascii="Times New Roman" w:hAnsi="Times New Roman" w:eastAsiaTheme="minorEastAsia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highlight w:val="none"/>
          <w:lang w:val="en-US" w:eastAsia="zh-CN"/>
        </w:rPr>
        <w:t xml:space="preserve">In the requested time budget requested, the core part will be completed in RAN4#122 meeting (i.e. Feb. 2027) and the performance part will be started in RAN4#122 meeting and completed in RAN4#124 meeting (i.e. Aug. 2027). </w:t>
      </w:r>
      <w:r>
        <w:rPr>
          <w:rFonts w:ascii="Times New Roman" w:hAnsi="Times New Roman" w:eastAsiaTheme="minorEastAsia"/>
          <w:highlight w:val="none"/>
          <w:lang w:val="en-US" w:eastAsia="zh-CN"/>
        </w:rPr>
        <w:t xml:space="preserve">The </w:t>
      </w:r>
      <w:r>
        <w:rPr>
          <w:rFonts w:hint="eastAsia" w:ascii="Times New Roman" w:hAnsi="Times New Roman" w:eastAsiaTheme="minorEastAsia"/>
          <w:highlight w:val="none"/>
          <w:lang w:val="en-US" w:eastAsia="zh-CN"/>
        </w:rPr>
        <w:t xml:space="preserve">work </w:t>
      </w:r>
      <w:r>
        <w:rPr>
          <w:rFonts w:ascii="Times New Roman" w:hAnsi="Times New Roman" w:eastAsiaTheme="minorEastAsia"/>
          <w:highlight w:val="none"/>
          <w:lang w:val="en-US" w:eastAsia="zh-CN"/>
        </w:rPr>
        <w:t>plan is provided in Table 1</w:t>
      </w:r>
      <w:r>
        <w:rPr>
          <w:rFonts w:hint="eastAsia" w:ascii="Times New Roman" w:hAnsi="Times New Roman" w:eastAsiaTheme="minorEastAsia"/>
          <w:highlight w:val="none"/>
          <w:lang w:val="en-US" w:eastAsia="zh-CN"/>
        </w:rPr>
        <w:t>.</w:t>
      </w:r>
    </w:p>
    <w:p>
      <w:pPr>
        <w:spacing w:after="180"/>
        <w:jc w:val="both"/>
        <w:rPr>
          <w:rFonts w:hint="eastAsia" w:ascii="Times New Roman" w:hAnsi="Times New Roman" w:eastAsiaTheme="minorEastAsia"/>
          <w:highlight w:val="none"/>
          <w:lang w:val="en-US" w:eastAsia="zh-CN"/>
        </w:rPr>
      </w:pPr>
    </w:p>
    <w:p>
      <w:pPr>
        <w:jc w:val="center"/>
        <w:rPr>
          <w:rFonts w:cs="Times New Roman"/>
          <w:highlight w:val="none"/>
        </w:rPr>
      </w:pPr>
      <w:bookmarkStart w:id="3" w:name="_Hlk149926769"/>
      <w:r>
        <w:rPr>
          <w:rFonts w:cs="Times New Roman"/>
          <w:highlight w:val="none"/>
        </w:rPr>
        <w:t>Table 1: W</w:t>
      </w:r>
      <w:r>
        <w:rPr>
          <w:rFonts w:hint="eastAsia" w:eastAsia="宋体" w:cs="Times New Roman"/>
          <w:highlight w:val="none"/>
          <w:lang w:val="en-US" w:eastAsia="zh-CN"/>
        </w:rPr>
        <w:t>ork</w:t>
      </w:r>
      <w:r>
        <w:rPr>
          <w:rFonts w:cs="Times New Roman"/>
          <w:highlight w:val="none"/>
        </w:rPr>
        <w:t xml:space="preserve"> plan </w:t>
      </w:r>
      <w:r>
        <w:rPr>
          <w:rFonts w:hint="eastAsia" w:eastAsia="宋体" w:cs="Times New Roman"/>
          <w:highlight w:val="none"/>
          <w:lang w:val="en-US" w:eastAsia="zh-CN"/>
        </w:rPr>
        <w:t xml:space="preserve">for </w:t>
      </w:r>
      <w:r>
        <w:rPr>
          <w:rFonts w:hint="eastAsia" w:cs="Times New Roman"/>
          <w:highlight w:val="none"/>
        </w:rPr>
        <w:t>BS RF requirement evolution for FR1 and testing</w:t>
      </w:r>
      <w:r>
        <w:rPr>
          <w:rFonts w:hint="eastAsia" w:eastAsia="宋体" w:cs="Times New Roman"/>
          <w:highlight w:val="none"/>
          <w:lang w:val="en-US" w:eastAsia="zh-CN"/>
        </w:rPr>
        <w:t>,</w:t>
      </w:r>
      <w:r>
        <w:rPr>
          <w:rFonts w:hint="eastAsia" w:cs="Times New Roman"/>
          <w:highlight w:val="none"/>
        </w:rPr>
        <w:t xml:space="preserve"> phase 2</w:t>
      </w:r>
    </w:p>
    <w:tbl>
      <w:tblPr>
        <w:tblStyle w:val="49"/>
        <w:tblW w:w="5021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0"/>
        <w:gridCol w:w="746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default"/>
                <w:b/>
                <w:color w:val="auto"/>
                <w:szCs w:val="20"/>
                <w:highlight w:val="none"/>
                <w:lang w:val="en-US"/>
              </w:rPr>
            </w:pPr>
            <w:bookmarkStart w:id="4" w:name="_Hlk155103169"/>
            <w:bookmarkStart w:id="5" w:name="_Hlk155887839"/>
            <w:bookmarkStart w:id="6" w:name="OLE_LINK73"/>
            <w:bookmarkStart w:id="7" w:name="OLE_LINK80"/>
            <w:bookmarkStart w:id="8" w:name="OLE_LINK78"/>
            <w:r>
              <w:rPr>
                <w:rFonts w:hint="eastAsia"/>
                <w:b/>
                <w:color w:val="auto"/>
                <w:szCs w:val="20"/>
                <w:highlight w:val="none"/>
                <w:lang w:val="en-US" w:eastAsia="zh-CN"/>
              </w:rPr>
              <w:t>Timeline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b/>
                <w:color w:val="auto"/>
                <w:szCs w:val="20"/>
                <w:highlight w:val="none"/>
              </w:rPr>
            </w:pPr>
            <w:r>
              <w:rPr>
                <w:b/>
                <w:color w:val="auto"/>
                <w:szCs w:val="20"/>
                <w:highlight w:val="none"/>
              </w:rPr>
              <w:t>Work plan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default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bookmarkStart w:id="9" w:name="_Hlk155887704"/>
            <w:r>
              <w:rPr>
                <w:bCs/>
                <w:color w:val="auto"/>
                <w:szCs w:val="20"/>
                <w:highlight w:val="none"/>
              </w:rPr>
              <w:t>RAN4#11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6</w:t>
            </w:r>
            <w:r>
              <w:rPr>
                <w:bCs/>
                <w:color w:val="auto"/>
                <w:szCs w:val="20"/>
                <w:highlight w:val="none"/>
              </w:rPr>
              <w:t>bis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bCs/>
                <w:color w:val="auto"/>
                <w:szCs w:val="20"/>
                <w:highlight w:val="none"/>
              </w:rPr>
              <w:t>(0.5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-Core part</w:t>
            </w:r>
          </w:p>
          <w:p>
            <w:pPr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October, 2025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highlight w:val="none"/>
                <w:lang w:val="en-US" w:eastAsia="zh-CN"/>
              </w:rPr>
              <w:t>Agree on the work plan.</w:t>
            </w:r>
          </w:p>
          <w:p>
            <w:pPr>
              <w:rPr>
                <w:rFonts w:hint="default" w:eastAsia="宋体"/>
                <w:b/>
                <w:color w:val="auto"/>
                <w:highlight w:val="none"/>
                <w:lang w:val="en-US" w:eastAsia="zh-CN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/>
              <w:spacing w:after="0"/>
              <w:ind w:left="259" w:leftChars="0" w:hanging="283" w:firstLineChars="0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eastAsia="zh-CN"/>
              </w:rPr>
              <w:t>St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 xml:space="preserve">art 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to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the impacts on the OTA co-location requirements based on the Rel-19.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/>
              <w:spacing w:after="0"/>
              <w:ind w:left="84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Discuss the missing cases for MCL analysis from Rel-19 (e.g.band combination)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59" w:leftChars="0" w:hanging="283" w:firstLineChars="0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eastAsia="zh-CN"/>
              </w:rPr>
              <w:t>St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 xml:space="preserve">art 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to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the </w:t>
            </w:r>
            <w:r>
              <w:rPr>
                <w:color w:val="auto"/>
                <w:highlight w:val="none"/>
              </w:rPr>
              <w:t>OTA co-location requirements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improvement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including: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/>
              <w:spacing w:after="0"/>
              <w:ind w:left="840"/>
              <w:rPr>
                <w:rFonts w:hint="default" w:ascii="Times New Roman" w:hAnsi="Times New Roman" w:eastAsia="Times New Roman" w:cs="Times New Roman"/>
                <w:highlight w:val="none"/>
                <w:vertAlign w:val="baseline"/>
                <w:lang w:val="en-US" w:eastAsia="zh-CN"/>
              </w:rPr>
            </w:pPr>
            <w:r>
              <w:rPr>
                <w:color w:val="auto"/>
                <w:highlight w:val="none"/>
              </w:rPr>
              <w:t>CLRA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concept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(e.g. alternative testing antenna or  other feasible testing method)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The </w:t>
            </w:r>
            <w:r>
              <w:rPr>
                <w:color w:val="auto"/>
                <w:highlight w:val="none"/>
              </w:rPr>
              <w:t xml:space="preserve">possibility to define requirements using the existing OTA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metrics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.</w:t>
            </w:r>
            <w:r>
              <w:rPr>
                <w:color w:val="auto"/>
                <w:highlight w:val="none"/>
              </w:rPr>
              <w:t xml:space="preserve">  </w:t>
            </w:r>
          </w:p>
          <w:p>
            <w:pPr>
              <w:rPr>
                <w:b/>
                <w:color w:val="auto"/>
                <w:highlight w:val="none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3"/>
              </w:numPr>
              <w:snapToGrid w:val="0"/>
              <w:spacing w:after="0"/>
              <w:ind w:left="357" w:hanging="357" w:firstLineChars="0"/>
              <w:rPr>
                <w:rFonts w:eastAsiaTheme="minorEastAsia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Initial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ascii="Times New Roman" w:hAnsi="Times New Roman" w:cs="Times New Roman" w:eastAsiaTheme="minorEastAsia"/>
                <w:color w:val="auto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scenarios/cases, simulation assumption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coupling loss assumption for co-site case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and etc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149"/>
              <w:numPr>
                <w:ilvl w:val="0"/>
                <w:numId w:val="3"/>
              </w:numPr>
              <w:snapToGrid w:val="0"/>
              <w:spacing w:after="0"/>
              <w:ind w:left="357" w:hanging="357" w:firstLineChars="0"/>
              <w:rPr>
                <w:rFonts w:eastAsiaTheme="minorEastAsia"/>
                <w:b/>
                <w:bCs/>
                <w:color w:val="auto"/>
                <w:szCs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Approve the TR skeleton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default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7 </w:t>
            </w:r>
            <w:r>
              <w:rPr>
                <w:bCs/>
                <w:color w:val="auto"/>
                <w:szCs w:val="20"/>
                <w:highlight w:val="none"/>
              </w:rPr>
              <w:t>(0.5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-Core part</w:t>
            </w:r>
          </w:p>
          <w:p>
            <w:pPr>
              <w:tabs>
                <w:tab w:val="left" w:pos="720"/>
              </w:tabs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November, 2025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bCs/>
                <w:color w:val="auto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the impacts on the OTA co-location requirements.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/>
              <w:spacing w:after="0"/>
              <w:ind w:left="84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Continue the MCL analysis for missing cases from Rel-19 (e.g.band combination).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rFonts w:hint="eastAsia"/>
                <w:bCs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highlight w:val="none"/>
              </w:rPr>
              <w:t>OTA co-location requirements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improvement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including: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kinsoku/>
              <w:wordWrap/>
              <w:topLinePunct w:val="0"/>
              <w:bidi w:val="0"/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CLRA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concept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(e.g. alternative testing antenna or  other feasible testing method)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The </w:t>
            </w:r>
            <w:r>
              <w:rPr>
                <w:color w:val="auto"/>
                <w:highlight w:val="none"/>
              </w:rPr>
              <w:t xml:space="preserve">possibility to define requirements using the existing OTA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metrics</w:t>
            </w:r>
            <w:r>
              <w:rPr>
                <w:color w:val="auto"/>
                <w:highlight w:val="none"/>
              </w:rPr>
              <w:t xml:space="preserve">  </w:t>
            </w:r>
          </w:p>
          <w:p>
            <w:pPr>
              <w:rPr>
                <w:b/>
                <w:color w:val="auto"/>
                <w:highlight w:val="none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ja-JP"/>
              </w:rPr>
              <w:t xml:space="preserve">Initial simulation results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for SBFD BS to SBFD BS adjacent channel coexistence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bCs/>
                <w:color w:val="auto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Initial discuss the necessity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and feasibility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of BS Tx unwanted emission and Rx in-band blocking RF requirements.</w:t>
            </w:r>
          </w:p>
        </w:tc>
      </w:tr>
      <w:bookmarkEnd w:id="4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bookmarkStart w:id="10" w:name="_Hlk155888377"/>
            <w:r>
              <w:rPr>
                <w:bCs/>
                <w:color w:val="auto"/>
                <w:szCs w:val="20"/>
                <w:highlight w:val="none"/>
              </w:rPr>
              <w:t>RAN4#11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8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1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-Core part</w:t>
            </w:r>
          </w:p>
          <w:p>
            <w:pPr>
              <w:tabs>
                <w:tab w:val="left" w:pos="720"/>
              </w:tabs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February, 2026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bCs/>
                <w:color w:val="auto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the impacts on the OTA co-location requirements.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/>
              <w:spacing w:after="0"/>
              <w:ind w:left="84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Continue the MCL analysis for missing cases from Rel-19 (e.g.band combination).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rFonts w:hint="eastAsia"/>
                <w:bCs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highlight w:val="none"/>
              </w:rPr>
              <w:t>OTA co-location requirements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improvement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including: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kinsoku/>
              <w:wordWrap/>
              <w:topLinePunct w:val="0"/>
              <w:bidi w:val="0"/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CLRA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concept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(e.g. alternative testing antenna or  other feasible testing method)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The </w:t>
            </w:r>
            <w:r>
              <w:rPr>
                <w:color w:val="auto"/>
                <w:highlight w:val="none"/>
              </w:rPr>
              <w:t xml:space="preserve">possibility to define requirements using the existing OTA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metrics</w:t>
            </w:r>
            <w:r>
              <w:rPr>
                <w:color w:val="auto"/>
                <w:highlight w:val="none"/>
              </w:rPr>
              <w:t xml:space="preserve">  </w:t>
            </w:r>
          </w:p>
          <w:p>
            <w:pPr>
              <w:rPr>
                <w:b/>
                <w:color w:val="auto"/>
                <w:highlight w:val="none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Updated s</w:t>
            </w:r>
            <w:r>
              <w:rPr>
                <w:color w:val="auto"/>
                <w:highlight w:val="none"/>
                <w:lang w:val="en-US" w:eastAsia="ja-JP"/>
              </w:rPr>
              <w:t>imulation results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for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SBFD BS to SBFD BS adjacent channel coexistence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Continue discussing the necessity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and feasibility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of BS Tx unwanted emission and Rx in-band blocking RF requirements.</w:t>
            </w:r>
          </w:p>
        </w:tc>
      </w:tr>
      <w:bookmarkEnd w:id="5"/>
      <w:bookmarkEnd w:id="9"/>
      <w:bookmarkEnd w:id="10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8bis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1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-Core part</w:t>
            </w:r>
          </w:p>
          <w:p>
            <w:pPr>
              <w:tabs>
                <w:tab w:val="left" w:pos="720"/>
              </w:tabs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April, 2026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bCs/>
                <w:color w:val="auto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the impacts on the OTA co-location requirements.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/>
              <w:spacing w:after="0"/>
              <w:ind w:left="84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Continue the MCL analysis for missing cases from Rel-19 (e.g.band combination).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rFonts w:hint="eastAsia"/>
                <w:bCs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highlight w:val="none"/>
              </w:rPr>
              <w:t>OTA co-location requirements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improvement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including: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kinsoku/>
              <w:wordWrap/>
              <w:topLinePunct w:val="0"/>
              <w:bidi w:val="0"/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CLRA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concept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(e.g. alternative testing antenna or  other feasible testing method)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The </w:t>
            </w:r>
            <w:r>
              <w:rPr>
                <w:color w:val="auto"/>
                <w:highlight w:val="none"/>
              </w:rPr>
              <w:t xml:space="preserve">possibility to define requirements using the existing OTA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metrics</w:t>
            </w:r>
            <w:r>
              <w:rPr>
                <w:color w:val="auto"/>
                <w:highlight w:val="none"/>
              </w:rPr>
              <w:t xml:space="preserve">  </w:t>
            </w:r>
          </w:p>
          <w:p>
            <w:pPr>
              <w:rPr>
                <w:b/>
                <w:color w:val="auto"/>
                <w:highlight w:val="none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eastAsiaTheme="minorEastAsia"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Align the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s</w:t>
            </w:r>
            <w:r>
              <w:rPr>
                <w:color w:val="auto"/>
                <w:highlight w:val="none"/>
                <w:lang w:val="en-US" w:eastAsia="ja-JP"/>
              </w:rPr>
              <w:t>imulation results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and try to draw conclusion </w:t>
            </w:r>
            <w:r>
              <w:rPr>
                <w:rFonts w:hint="eastAsia" w:ascii="Times New Roman" w:hAnsi="Times New Roman" w:eastAsia="Times New Roman" w:cs="Times New Roman"/>
                <w:highlight w:val="none"/>
                <w:vertAlign w:val="baseline"/>
                <w:lang w:val="en-US" w:eastAsia="zh-CN"/>
              </w:rPr>
              <w:t>on the simulation results for SBFD coexistence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eastAsiaTheme="minorEastAsia"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Identify the necessity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and feasibility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of BS Tx unwanted emission and Rx in-band blocking RF requirements based on the co-existence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simulation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study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9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1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-Core part</w:t>
            </w:r>
          </w:p>
          <w:p>
            <w:pPr>
              <w:tabs>
                <w:tab w:val="left" w:pos="720"/>
              </w:tabs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May, 2026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bCs/>
                <w:color w:val="auto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the impacts on the OTA co-location requirements.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/>
              <w:spacing w:after="0"/>
              <w:ind w:left="84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Continue the MCL analysis for missing cases from Rel-19 (e.g.band combination).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rFonts w:hint="eastAsia"/>
                <w:bCs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highlight w:val="none"/>
              </w:rPr>
              <w:t>OTA co-location requirements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improvement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including: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kinsoku/>
              <w:wordWrap/>
              <w:topLinePunct w:val="0"/>
              <w:bidi w:val="0"/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CLRA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concept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(e.g. alternative testing antenna or other feasible testing method)</w:t>
            </w:r>
          </w:p>
          <w:p>
            <w:pPr>
              <w:pStyle w:val="149"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snapToGrid w:val="0"/>
              <w:spacing w:after="0"/>
              <w:ind w:left="840" w:leftChars="0" w:hanging="420" w:firstLineChars="0"/>
              <w:rPr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The </w:t>
            </w:r>
            <w:r>
              <w:rPr>
                <w:color w:val="auto"/>
                <w:highlight w:val="none"/>
              </w:rPr>
              <w:t xml:space="preserve">possibility to define requirements using the existing OTA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metrics</w:t>
            </w:r>
            <w:r>
              <w:rPr>
                <w:color w:val="auto"/>
                <w:highlight w:val="none"/>
              </w:rPr>
              <w:t xml:space="preserve">  </w:t>
            </w:r>
          </w:p>
          <w:p>
            <w:pPr>
              <w:rPr>
                <w:b/>
                <w:color w:val="auto"/>
                <w:highlight w:val="none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color w:val="auto"/>
                <w:kern w:val="24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Discuss how to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define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the RF requirements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based on the the conclusion of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co-existence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simulation study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.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color w:val="auto"/>
                <w:kern w:val="24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TP to TR if needed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20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1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-Core part</w:t>
            </w:r>
          </w:p>
          <w:p>
            <w:pPr>
              <w:tabs>
                <w:tab w:val="left" w:pos="720"/>
              </w:tabs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August, 2026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hint="default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Draw the conclusion on the MCL analysis for missing cases from Rel-19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rFonts w:hint="eastAsia"/>
                <w:bCs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highlight w:val="none"/>
              </w:rPr>
              <w:t>OTA co-location requirements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improvement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including: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kinsoku/>
              <w:wordWrap/>
              <w:topLinePunct w:val="0"/>
              <w:bidi w:val="0"/>
              <w:snapToGrid w:val="0"/>
              <w:spacing w:after="0"/>
              <w:ind w:left="840" w:leftChars="0" w:hanging="420" w:firstLineChars="0"/>
              <w:rPr>
                <w:b/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CLRA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concept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(e.g. alternative testing antenna or  other feasible testing method)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kinsoku/>
              <w:wordWrap/>
              <w:topLinePunct w:val="0"/>
              <w:bidi w:val="0"/>
              <w:snapToGrid w:val="0"/>
              <w:spacing w:after="0"/>
              <w:ind w:left="840" w:leftChars="0" w:hanging="420" w:firstLineChars="0"/>
              <w:rPr>
                <w:b/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The </w:t>
            </w:r>
            <w:r>
              <w:rPr>
                <w:color w:val="auto"/>
                <w:highlight w:val="none"/>
              </w:rPr>
              <w:t xml:space="preserve">possibility to define requirements using the existing OTA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metrics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679"/>
              </w:tabs>
              <w:kinsoku/>
              <w:wordWrap/>
              <w:topLinePunct w:val="0"/>
              <w:bidi w:val="0"/>
              <w:snapToGrid w:val="0"/>
              <w:spacing w:after="0"/>
              <w:rPr>
                <w:rFonts w:hint="eastAsia"/>
                <w:color w:val="auto"/>
                <w:highlight w:val="none"/>
                <w:lang w:eastAsia="zh-CN"/>
              </w:rPr>
            </w:pP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679"/>
              </w:tabs>
              <w:kinsoku/>
              <w:wordWrap/>
              <w:topLinePunct w:val="0"/>
              <w:bidi w:val="0"/>
              <w:snapToGrid w:val="0"/>
              <w:spacing w:after="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rFonts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Continue d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iscussing 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how to define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the new RF requirements.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20bis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1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-Core part</w:t>
            </w:r>
          </w:p>
          <w:p>
            <w:pPr>
              <w:tabs>
                <w:tab w:val="left" w:pos="720"/>
              </w:tabs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October, 2026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Continue </w:t>
            </w:r>
            <w:r>
              <w:rPr>
                <w:rFonts w:eastAsiaTheme="minorEastAsia"/>
                <w:color w:val="auto"/>
                <w:highlight w:val="none"/>
                <w:lang w:eastAsia="zh-CN"/>
              </w:rPr>
              <w:t>discuss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ing</w:t>
            </w:r>
            <w:r>
              <w:rPr>
                <w:rFonts w:hint="eastAsia"/>
                <w:bCs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highlight w:val="none"/>
              </w:rPr>
              <w:t>OTA co-location requirements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improvement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including: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kinsoku/>
              <w:wordWrap/>
              <w:topLinePunct w:val="0"/>
              <w:bidi w:val="0"/>
              <w:snapToGrid w:val="0"/>
              <w:spacing w:after="0"/>
              <w:ind w:left="840" w:leftChars="0" w:hanging="420" w:firstLineChars="0"/>
              <w:rPr>
                <w:b/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CLRA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concept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(e.g. alternative testing antenna or  other feasible testing method)</w:t>
            </w:r>
          </w:p>
          <w:p>
            <w:pPr>
              <w:pStyle w:val="149"/>
              <w:keepNext w:val="0"/>
              <w:pageBreakBefore w:val="0"/>
              <w:widowControl/>
              <w:numPr>
                <w:ilvl w:val="0"/>
                <w:numId w:val="4"/>
              </w:numPr>
              <w:tabs>
                <w:tab w:val="left" w:pos="679"/>
                <w:tab w:val="clear" w:pos="420"/>
              </w:tabs>
              <w:kinsoku/>
              <w:wordWrap/>
              <w:topLinePunct w:val="0"/>
              <w:bidi w:val="0"/>
              <w:snapToGrid w:val="0"/>
              <w:spacing w:after="0"/>
              <w:ind w:left="840" w:leftChars="0" w:hanging="420" w:firstLineChars="0"/>
              <w:rPr>
                <w:b/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The </w:t>
            </w:r>
            <w:r>
              <w:rPr>
                <w:color w:val="auto"/>
                <w:highlight w:val="none"/>
              </w:rPr>
              <w:t xml:space="preserve">possibility to define requirements using the existing OTA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metrics</w:t>
            </w:r>
          </w:p>
          <w:p>
            <w:pPr>
              <w:pStyle w:val="149"/>
              <w:numPr>
                <w:ilvl w:val="0"/>
                <w:numId w:val="0"/>
              </w:numPr>
              <w:tabs>
                <w:tab w:val="left" w:pos="679"/>
              </w:tabs>
              <w:snapToGrid w:val="0"/>
              <w:spacing w:after="0"/>
              <w:ind w:left="-24" w:leftChars="0"/>
              <w:rPr>
                <w:color w:val="auto"/>
                <w:highlight w:val="none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Continue d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iscussing 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how to define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the new RF requirements.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21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1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-Core part</w:t>
            </w:r>
          </w:p>
          <w:p>
            <w:pPr>
              <w:tabs>
                <w:tab w:val="left" w:pos="720"/>
              </w:tabs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November, 2026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Draw the conclusion on</w:t>
            </w:r>
            <w:r>
              <w:rPr>
                <w:rFonts w:hint="eastAsia" w:eastAsia="Times New Roman" w:cs="Times New Roman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the core requirement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improvement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Discuss and Endorse all draft CRs  </w:t>
            </w:r>
            <w:r>
              <w:rPr>
                <w:color w:val="auto"/>
                <w:highlight w:val="none"/>
              </w:rPr>
              <w:t xml:space="preserve"> </w:t>
            </w:r>
          </w:p>
          <w:p>
            <w:pPr>
              <w:rPr>
                <w:b/>
                <w:color w:val="auto"/>
                <w:highlight w:val="none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eastAsiaTheme="minorEastAsia"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Agree on the definition of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the new RF requirements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.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Discuss and Endorse all draft CRs.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default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22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0.5+0.5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-Core part + Perf. part</w:t>
            </w:r>
          </w:p>
          <w:p>
            <w:pPr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February, 2027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pStyle w:val="149"/>
              <w:numPr>
                <w:ilvl w:val="0"/>
                <w:numId w:val="0"/>
              </w:numPr>
              <w:snapToGrid w:val="0"/>
              <w:spacing w:after="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Core:</w:t>
            </w: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Enhancement of co-location requirements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cs="Times New Roman"/>
                <w:highlight w:val="none"/>
                <w:vertAlign w:val="baseline"/>
                <w:lang w:val="en-US" w:eastAsia="zh-CN"/>
              </w:rPr>
              <w:t xml:space="preserve">Complete the core requirement for co-location requirement improvement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Agree all formal CRs  </w:t>
            </w:r>
            <w:r>
              <w:rPr>
                <w:color w:val="auto"/>
                <w:highlight w:val="none"/>
              </w:rPr>
              <w:t xml:space="preserve"> </w:t>
            </w:r>
          </w:p>
          <w:p>
            <w:pPr>
              <w:rPr>
                <w:b/>
                <w:color w:val="auto"/>
                <w:highlight w:val="none"/>
              </w:rPr>
            </w:pPr>
          </w:p>
          <w:p>
            <w:pPr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eastAsiaTheme="minorEastAsia"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>Complete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the RF requirements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for SBFD-SBFD </w:t>
            </w:r>
            <w:r>
              <w:rPr>
                <w:rFonts w:hint="eastAsia" w:eastAsiaTheme="minorEastAsia"/>
                <w:b w:val="0"/>
                <w:color w:val="auto"/>
                <w:highlight w:val="none"/>
                <w:lang w:val="en-US" w:eastAsia="zh-CN"/>
              </w:rPr>
              <w:t>BS adjacent channel co-existence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.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eastAsiaTheme="minorEastAsia"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Agree all formal CRs  </w:t>
            </w:r>
          </w:p>
          <w:p>
            <w:pPr>
              <w:pStyle w:val="149"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snapToGrid w:val="0"/>
              <w:spacing w:after="0"/>
              <w:ind w:left="259" w:leftChars="0" w:hanging="283" w:firstLineChars="0"/>
              <w:rPr>
                <w:rFonts w:eastAsiaTheme="minorEastAsia"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Agree the final TR.</w:t>
            </w:r>
          </w:p>
          <w:p>
            <w:pPr>
              <w:pStyle w:val="149"/>
              <w:numPr>
                <w:ilvl w:val="0"/>
                <w:numId w:val="0"/>
              </w:numPr>
              <w:snapToGrid w:val="0"/>
              <w:spacing w:after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before="120" w:after="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Perf: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Enhancement of co-location requirements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Initial discuss the conformance testing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for the improved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of co-location requirements.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/>
              <w:spacing w:before="120" w:after="0"/>
              <w:ind w:left="259" w:leftChars="0" w:hanging="283" w:firstLine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Initial discuss the conformance testing of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the new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RF requirements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 MU, </w:t>
            </w:r>
            <w:r>
              <w:rPr>
                <w:rFonts w:hint="eastAsia" w:ascii="Times New Roman" w:hAnsi="Times New Roman" w:eastAsia="Times New Roman" w:cs="Times New Roman"/>
                <w:highlight w:val="none"/>
                <w:vertAlign w:val="baseline"/>
                <w:lang w:val="en-US" w:eastAsia="zh-CN"/>
              </w:rPr>
              <w:t>test configuration, test procedures</w:t>
            </w:r>
            <w:r>
              <w:rPr>
                <w:rFonts w:hint="eastAsia" w:eastAsia="Times New Roman" w:cs="Times New Roman"/>
                <w:highlight w:val="none"/>
                <w:vertAlign w:val="baseline"/>
                <w:lang w:val="en-US" w:eastAsia="zh-CN"/>
              </w:rPr>
              <w:t>, and etc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22bis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0.5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-Perf. part </w:t>
            </w:r>
          </w:p>
          <w:p>
            <w:pPr>
              <w:rPr>
                <w:bCs/>
                <w:color w:val="auto"/>
                <w:szCs w:val="20"/>
                <w:highlight w:val="none"/>
                <w:lang w:eastAsia="zh-CN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April, 2027</w:t>
            </w:r>
            <w:r>
              <w:rPr>
                <w:bCs/>
                <w:color w:val="auto"/>
                <w:szCs w:val="20"/>
                <w:highlight w:val="none"/>
              </w:rPr>
              <w:t xml:space="preserve"> 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Enhancement of co-location requirements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Continue discussing the conformance testing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for the improved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of co-location requirements.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/>
              <w:spacing w:before="120"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Continue discussing the conformance testing of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the new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RF requirements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 MU, </w:t>
            </w:r>
            <w:r>
              <w:rPr>
                <w:rFonts w:hint="eastAsia" w:ascii="Times New Roman" w:hAnsi="Times New Roman" w:eastAsia="Times New Roman" w:cs="Times New Roman"/>
                <w:highlight w:val="none"/>
                <w:vertAlign w:val="baseline"/>
                <w:lang w:val="en-US" w:eastAsia="zh-CN"/>
              </w:rPr>
              <w:t>test configuration, test procedures</w:t>
            </w:r>
            <w:r>
              <w:rPr>
                <w:rFonts w:hint="eastAsia" w:eastAsia="Times New Roman" w:cs="Times New Roman"/>
                <w:highlight w:val="none"/>
                <w:vertAlign w:val="baseline"/>
                <w:lang w:val="en-US" w:eastAsia="zh-CN"/>
              </w:rPr>
              <w:t>, and etc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23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0.5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-Perf. part </w:t>
            </w:r>
          </w:p>
          <w:p>
            <w:pPr>
              <w:rPr>
                <w:bCs/>
                <w:color w:val="auto"/>
                <w:szCs w:val="20"/>
                <w:highlight w:val="none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May, 2027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Enhancement of co-location requirements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Continue discussing the conformance testing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for the improved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of co-location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Discuss and Endorse all draft CRs.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/>
              <w:spacing w:before="120" w:after="0"/>
              <w:ind w:left="259" w:leftChars="0" w:hanging="283" w:firstLine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Agree on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the conformance testing of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the new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RF requirements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including MU, </w:t>
            </w:r>
            <w:r>
              <w:rPr>
                <w:rFonts w:hint="eastAsia" w:ascii="Times New Roman" w:hAnsi="Times New Roman" w:eastAsia="Times New Roman" w:cs="Times New Roman"/>
                <w:highlight w:val="none"/>
                <w:vertAlign w:val="baseline"/>
                <w:lang w:val="en-US" w:eastAsia="zh-CN"/>
              </w:rPr>
              <w:t>test configuration, test procedures</w:t>
            </w:r>
            <w:r>
              <w:rPr>
                <w:rFonts w:hint="eastAsia" w:eastAsia="Times New Roman" w:cs="Times New Roman"/>
                <w:highlight w:val="none"/>
                <w:vertAlign w:val="baseline"/>
                <w:lang w:val="en-US" w:eastAsia="zh-CN"/>
              </w:rPr>
              <w:t>, and etc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.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Discuss and Endorse all draft CRs</w:t>
            </w:r>
            <w:r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 w:hRule="atLeast"/>
        </w:trPr>
        <w:tc>
          <w:tcPr>
            <w:tcW w:w="1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</w:pPr>
            <w:r>
              <w:rPr>
                <w:bCs/>
                <w:color w:val="auto"/>
                <w:szCs w:val="20"/>
                <w:highlight w:val="none"/>
              </w:rPr>
              <w:t>RAN4#1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24 </w:t>
            </w:r>
            <w:r>
              <w:rPr>
                <w:bCs/>
                <w:color w:val="auto"/>
                <w:szCs w:val="20"/>
                <w:highlight w:val="none"/>
              </w:rPr>
              <w:t>(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0.5</w:t>
            </w:r>
            <w:r>
              <w:rPr>
                <w:bCs/>
                <w:color w:val="auto"/>
                <w:szCs w:val="20"/>
                <w:highlight w:val="none"/>
              </w:rPr>
              <w:t xml:space="preserve"> TU)</w:t>
            </w: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 xml:space="preserve"> -Perf. part </w:t>
            </w:r>
          </w:p>
          <w:p>
            <w:pPr>
              <w:rPr>
                <w:bCs/>
                <w:color w:val="auto"/>
                <w:szCs w:val="20"/>
                <w:highlight w:val="none"/>
                <w:lang w:eastAsia="zh-CN"/>
              </w:rPr>
            </w:pPr>
            <w:r>
              <w:rPr>
                <w:rFonts w:hint="eastAsia" w:eastAsia="宋体"/>
                <w:bCs/>
                <w:color w:val="auto"/>
                <w:szCs w:val="20"/>
                <w:highlight w:val="none"/>
                <w:lang w:val="en-US" w:eastAsia="zh-CN"/>
              </w:rPr>
              <w:t>August, 2027</w:t>
            </w:r>
          </w:p>
        </w:tc>
        <w:tc>
          <w:tcPr>
            <w:tcW w:w="38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Enhancement of co-location requirements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Complete the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discuss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ion on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the conformance testing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for the improved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of co-location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Agree all final CRs.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SBFD BS to SBFD BS adjacent channel co-existence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topLinePunct w:val="0"/>
              <w:bidi w:val="0"/>
              <w:snapToGrid/>
              <w:spacing w:before="120" w:after="0"/>
              <w:ind w:left="259" w:leftChars="0" w:hanging="283" w:firstLineChars="0"/>
              <w:rPr>
                <w:color w:val="auto"/>
                <w:highlight w:val="none"/>
              </w:rPr>
            </w:pP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Complete the discussion on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the conformance testing of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>the new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 RF requirements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149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679"/>
                <w:tab w:val="clear" w:pos="36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61" w:leftChars="0" w:hanging="283" w:firstLineChars="0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 xml:space="preserve">Agree all final CRs </w:t>
            </w:r>
            <w:r>
              <w:rPr>
                <w:rFonts w:hint="eastAsia" w:cs="Times New Roman" w:eastAsiaTheme="minor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highlight w:val="none"/>
                <w:lang w:val="en-US" w:eastAsia="zh-CN"/>
              </w:rPr>
              <w:t>.</w:t>
            </w:r>
          </w:p>
        </w:tc>
      </w:tr>
    </w:tbl>
    <w:p>
      <w:pPr>
        <w:spacing w:line="264" w:lineRule="auto"/>
        <w:rPr>
          <w:b/>
          <w:highlight w:val="none"/>
          <w:lang w:eastAsia="zh-CN"/>
        </w:rPr>
      </w:pPr>
    </w:p>
    <w:p>
      <w:pPr>
        <w:pStyle w:val="2"/>
        <w:tabs>
          <w:tab w:val="left" w:pos="522"/>
        </w:tabs>
        <w:ind w:left="522" w:hanging="522"/>
        <w:rPr>
          <w:rFonts w:hint="default"/>
          <w:highlight w:val="none"/>
          <w:lang w:val="en-US" w:eastAsia="zh-CN"/>
        </w:rPr>
      </w:pPr>
      <w:r>
        <w:rPr>
          <w:highlight w:val="none"/>
          <w:lang w:val="en-US" w:eastAsia="zh-CN"/>
        </w:rPr>
        <w:t>3</w:t>
      </w:r>
      <w:r>
        <w:rPr>
          <w:rFonts w:hint="eastAsia"/>
          <w:highlight w:val="none"/>
          <w:lang w:val="en-US" w:eastAsia="zh-CN"/>
        </w:rPr>
        <w:t>. Conclusion</w:t>
      </w:r>
    </w:p>
    <w:p>
      <w:pPr>
        <w:spacing w:line="264" w:lineRule="auto"/>
        <w:rPr>
          <w:rFonts w:hint="default"/>
          <w:b/>
          <w:highlight w:val="none"/>
          <w:lang w:val="en-US" w:eastAsia="zh-CN"/>
        </w:rPr>
      </w:pPr>
      <w:r>
        <w:rPr>
          <w:rFonts w:hint="eastAsia"/>
          <w:b/>
          <w:highlight w:val="none"/>
          <w:lang w:val="en-US" w:eastAsia="zh-CN"/>
        </w:rPr>
        <w:t>Proposal: Agreed on the work plan as in table 1.</w:t>
      </w:r>
    </w:p>
    <w:bookmarkEnd w:id="6"/>
    <w:bookmarkEnd w:id="7"/>
    <w:bookmarkEnd w:id="8"/>
    <w:p>
      <w:pPr>
        <w:pStyle w:val="2"/>
        <w:tabs>
          <w:tab w:val="left" w:pos="522"/>
        </w:tabs>
        <w:ind w:left="522" w:hanging="522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4. Reference</w:t>
      </w:r>
    </w:p>
    <w:p>
      <w:pPr>
        <w:spacing w:after="180"/>
        <w:jc w:val="both"/>
        <w:rPr>
          <w:rFonts w:ascii="Times New Roman" w:hAnsi="Times New Roman" w:eastAsiaTheme="minorEastAsia"/>
          <w:highlight w:val="none"/>
          <w:lang w:val="en-US" w:eastAsia="zh-CN"/>
        </w:rPr>
      </w:pPr>
      <w:bookmarkStart w:id="11" w:name="_Hlk135053426"/>
      <w:r>
        <w:rPr>
          <w:rFonts w:ascii="Times New Roman" w:hAnsi="Times New Roman" w:eastAsiaTheme="minorEastAsia"/>
          <w:highlight w:val="none"/>
          <w:lang w:val="en-US" w:eastAsia="zh-CN"/>
        </w:rPr>
        <w:t>[</w:t>
      </w:r>
      <w:r>
        <w:rPr>
          <w:rFonts w:hint="eastAsia" w:ascii="Times New Roman" w:hAnsi="Times New Roman" w:eastAsiaTheme="minorEastAsia"/>
          <w:highlight w:val="none"/>
          <w:lang w:val="en-US" w:eastAsia="zh-CN"/>
        </w:rPr>
        <w:t>1</w:t>
      </w:r>
      <w:r>
        <w:rPr>
          <w:rFonts w:ascii="Times New Roman" w:hAnsi="Times New Roman" w:eastAsiaTheme="minorEastAsia"/>
          <w:highlight w:val="none"/>
          <w:lang w:val="en-US" w:eastAsia="zh-CN"/>
        </w:rPr>
        <w:t xml:space="preserve">] </w:t>
      </w:r>
      <w:r>
        <w:rPr>
          <w:rFonts w:ascii="Times New Roman" w:hAnsi="Times New Roman" w:cs="Times New Roman" w:eastAsiaTheme="minorEastAsia"/>
          <w:highlight w:val="none"/>
          <w:lang w:val="en-US" w:eastAsia="zh-CN"/>
        </w:rPr>
        <w:t>RP-25</w:t>
      </w:r>
      <w:r>
        <w:rPr>
          <w:rFonts w:hint="eastAsia" w:ascii="Times New Roman" w:hAnsi="Times New Roman" w:cs="Times New Roman" w:eastAsiaTheme="minorEastAsia"/>
          <w:highlight w:val="none"/>
          <w:lang w:val="en-US" w:eastAsia="zh-CN"/>
        </w:rPr>
        <w:t xml:space="preserve">2905, </w:t>
      </w:r>
      <w:r>
        <w:rPr>
          <w:rFonts w:ascii="Times New Roman" w:hAnsi="Times New Roman" w:cs="Times New Roman" w:eastAsiaTheme="minorEastAsia"/>
          <w:highlight w:val="none"/>
          <w:lang w:val="en-US" w:eastAsia="zh-CN"/>
        </w:rPr>
        <w:t>New WID on NR base station (BS) RF requirement evolution for FR1 and testing phase 2</w:t>
      </w:r>
      <w:r>
        <w:rPr>
          <w:rFonts w:hint="eastAsia" w:ascii="Times New Roman" w:hAnsi="Times New Roman" w:cs="Times New Roman" w:eastAsiaTheme="minorEastAsia"/>
          <w:highlight w:val="none"/>
          <w:lang w:val="en-US" w:eastAsia="zh-CN"/>
        </w:rPr>
        <w:t xml:space="preserve">, </w:t>
      </w:r>
      <w:r>
        <w:rPr>
          <w:rFonts w:ascii="Times New Roman" w:hAnsi="Times New Roman" w:cs="Times New Roman" w:eastAsiaTheme="minorEastAsia"/>
          <w:highlight w:val="none"/>
          <w:lang w:val="en-US" w:eastAsia="zh-CN"/>
        </w:rPr>
        <w:t>Moderator (Huawei)</w:t>
      </w:r>
    </w:p>
    <w:bookmarkEnd w:id="3"/>
    <w:bookmarkEnd w:id="11"/>
    <w:p>
      <w:pPr>
        <w:spacing w:after="180"/>
        <w:jc w:val="both"/>
        <w:rPr>
          <w:rFonts w:ascii="Times New Roman" w:hAnsi="Times New Roman" w:eastAsiaTheme="minorEastAsia"/>
          <w:highlight w:val="none"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276" w:right="1133" w:bottom="127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FC1CEF"/>
    <w:multiLevelType w:val="singleLevel"/>
    <w:tmpl w:val="CFFC1CEF"/>
    <w:lvl w:ilvl="0" w:tentative="0">
      <w:start w:val="1"/>
      <w:numFmt w:val="bullet"/>
      <w:lvlText w:val="-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Arial" w:hAnsi="Arial" w:cs="Arial"/>
      </w:rPr>
    </w:lvl>
  </w:abstractNum>
  <w:abstractNum w:abstractNumId="1">
    <w:nsid w:val="4D783985"/>
    <w:multiLevelType w:val="multilevel"/>
    <w:tmpl w:val="4D783985"/>
    <w:lvl w:ilvl="0" w:tentative="0">
      <w:start w:val="1"/>
      <w:numFmt w:val="bullet"/>
      <w:lvlText w:val="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440" w:hanging="440"/>
      </w:pPr>
      <w:rPr>
        <w:rFonts w:hint="default" w:ascii="Courier New" w:hAnsi="Courier New" w:cs="Courier New"/>
      </w:rPr>
    </w:lvl>
    <w:lvl w:ilvl="2" w:tentative="0">
      <w:start w:val="7"/>
      <w:numFmt w:val="bullet"/>
      <w:lvlText w:val="•"/>
      <w:lvlJc w:val="left"/>
      <w:pPr>
        <w:ind w:left="1320" w:hanging="440"/>
      </w:pPr>
      <w:rPr>
        <w:rFonts w:hint="default" w:ascii="Calibri" w:hAnsi="Calibri" w:cs="Calibri" w:eastAsiaTheme="minorHAnsi"/>
      </w:rPr>
    </w:lvl>
    <w:lvl w:ilvl="3" w:tentative="0">
      <w:start w:val="1"/>
      <w:numFmt w:val="bullet"/>
      <w:lvlText w:val="−"/>
      <w:lvlJc w:val="left"/>
      <w:pPr>
        <w:ind w:left="1760" w:hanging="440"/>
      </w:pPr>
      <w:rPr>
        <w:rFonts w:hint="default" w:ascii="Arial" w:hAnsi="Arial" w:cs="Arial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54D81D92"/>
    <w:multiLevelType w:val="multilevel"/>
    <w:tmpl w:val="54D81D92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8FD2F58"/>
    <w:multiLevelType w:val="multilevel"/>
    <w:tmpl w:val="58FD2F58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hint="default" w:ascii="Wingdings" w:hAnsi="Wingdings"/>
      </w:rPr>
    </w:lvl>
    <w:lvl w:ilvl="2" w:tentative="0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hint="default" w:ascii="Symbol" w:hAnsi="Symbol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76D"/>
    <w:rsid w:val="00002DD4"/>
    <w:rsid w:val="00005C08"/>
    <w:rsid w:val="00006323"/>
    <w:rsid w:val="00006A12"/>
    <w:rsid w:val="000079EF"/>
    <w:rsid w:val="000168DE"/>
    <w:rsid w:val="00017954"/>
    <w:rsid w:val="00017CD6"/>
    <w:rsid w:val="00017DBD"/>
    <w:rsid w:val="0002089E"/>
    <w:rsid w:val="00020FE2"/>
    <w:rsid w:val="00021222"/>
    <w:rsid w:val="000236C3"/>
    <w:rsid w:val="00023855"/>
    <w:rsid w:val="0002510E"/>
    <w:rsid w:val="0002530B"/>
    <w:rsid w:val="00026F3E"/>
    <w:rsid w:val="0003171D"/>
    <w:rsid w:val="00031C1D"/>
    <w:rsid w:val="000320DE"/>
    <w:rsid w:val="00032AF6"/>
    <w:rsid w:val="000353D1"/>
    <w:rsid w:val="000358CD"/>
    <w:rsid w:val="00036B50"/>
    <w:rsid w:val="0003705B"/>
    <w:rsid w:val="0003795B"/>
    <w:rsid w:val="00040094"/>
    <w:rsid w:val="00040797"/>
    <w:rsid w:val="00041A3E"/>
    <w:rsid w:val="000428A4"/>
    <w:rsid w:val="00044A50"/>
    <w:rsid w:val="000457A1"/>
    <w:rsid w:val="00047B7B"/>
    <w:rsid w:val="00047FCD"/>
    <w:rsid w:val="00050001"/>
    <w:rsid w:val="000503EA"/>
    <w:rsid w:val="000507BF"/>
    <w:rsid w:val="00052041"/>
    <w:rsid w:val="0005326A"/>
    <w:rsid w:val="00054750"/>
    <w:rsid w:val="00057CD0"/>
    <w:rsid w:val="00057F68"/>
    <w:rsid w:val="0006109E"/>
    <w:rsid w:val="0006266D"/>
    <w:rsid w:val="000641E6"/>
    <w:rsid w:val="000646CA"/>
    <w:rsid w:val="00065506"/>
    <w:rsid w:val="00066E7E"/>
    <w:rsid w:val="00067E07"/>
    <w:rsid w:val="00070C41"/>
    <w:rsid w:val="00071E68"/>
    <w:rsid w:val="00072282"/>
    <w:rsid w:val="0007382E"/>
    <w:rsid w:val="000766E1"/>
    <w:rsid w:val="000771B8"/>
    <w:rsid w:val="000776AA"/>
    <w:rsid w:val="00077AE4"/>
    <w:rsid w:val="00077FF6"/>
    <w:rsid w:val="00080902"/>
    <w:rsid w:val="00080D82"/>
    <w:rsid w:val="00081692"/>
    <w:rsid w:val="00082AEE"/>
    <w:rsid w:val="00082C46"/>
    <w:rsid w:val="00083335"/>
    <w:rsid w:val="00083764"/>
    <w:rsid w:val="00087548"/>
    <w:rsid w:val="000877D0"/>
    <w:rsid w:val="0009360C"/>
    <w:rsid w:val="00093E7E"/>
    <w:rsid w:val="00096F36"/>
    <w:rsid w:val="000975EE"/>
    <w:rsid w:val="00097C14"/>
    <w:rsid w:val="00097DBC"/>
    <w:rsid w:val="000A1830"/>
    <w:rsid w:val="000A4121"/>
    <w:rsid w:val="000A4AA3"/>
    <w:rsid w:val="000A550E"/>
    <w:rsid w:val="000A72E5"/>
    <w:rsid w:val="000B196B"/>
    <w:rsid w:val="000B1A55"/>
    <w:rsid w:val="000B1B93"/>
    <w:rsid w:val="000B20BB"/>
    <w:rsid w:val="000B2EF6"/>
    <w:rsid w:val="000B2FA6"/>
    <w:rsid w:val="000B31A6"/>
    <w:rsid w:val="000B39CE"/>
    <w:rsid w:val="000B4AA0"/>
    <w:rsid w:val="000B4DA4"/>
    <w:rsid w:val="000B5826"/>
    <w:rsid w:val="000B5A23"/>
    <w:rsid w:val="000B61DE"/>
    <w:rsid w:val="000B63BD"/>
    <w:rsid w:val="000B776A"/>
    <w:rsid w:val="000C064D"/>
    <w:rsid w:val="000C2BBB"/>
    <w:rsid w:val="000C38C3"/>
    <w:rsid w:val="000C5B53"/>
    <w:rsid w:val="000D1CED"/>
    <w:rsid w:val="000D329B"/>
    <w:rsid w:val="000D4089"/>
    <w:rsid w:val="000D44FB"/>
    <w:rsid w:val="000D66A7"/>
    <w:rsid w:val="000D6CFC"/>
    <w:rsid w:val="000E2599"/>
    <w:rsid w:val="000E2D77"/>
    <w:rsid w:val="000E30BF"/>
    <w:rsid w:val="000E4891"/>
    <w:rsid w:val="000E537B"/>
    <w:rsid w:val="000E57D0"/>
    <w:rsid w:val="000E595A"/>
    <w:rsid w:val="000E71EF"/>
    <w:rsid w:val="000E7858"/>
    <w:rsid w:val="000F101B"/>
    <w:rsid w:val="000F30C5"/>
    <w:rsid w:val="000F330F"/>
    <w:rsid w:val="000F3A78"/>
    <w:rsid w:val="000F4188"/>
    <w:rsid w:val="000F5023"/>
    <w:rsid w:val="000F5454"/>
    <w:rsid w:val="000F7828"/>
    <w:rsid w:val="0010249C"/>
    <w:rsid w:val="00103AB6"/>
    <w:rsid w:val="00104DFD"/>
    <w:rsid w:val="0010519A"/>
    <w:rsid w:val="0010639C"/>
    <w:rsid w:val="00107688"/>
    <w:rsid w:val="00110E26"/>
    <w:rsid w:val="00114609"/>
    <w:rsid w:val="0011606E"/>
    <w:rsid w:val="001163AF"/>
    <w:rsid w:val="00117BD6"/>
    <w:rsid w:val="001206C2"/>
    <w:rsid w:val="00121360"/>
    <w:rsid w:val="00121978"/>
    <w:rsid w:val="00123422"/>
    <w:rsid w:val="00123813"/>
    <w:rsid w:val="00123AC5"/>
    <w:rsid w:val="00124B6A"/>
    <w:rsid w:val="00126E68"/>
    <w:rsid w:val="001270DF"/>
    <w:rsid w:val="00127974"/>
    <w:rsid w:val="001309CD"/>
    <w:rsid w:val="001318B6"/>
    <w:rsid w:val="00132030"/>
    <w:rsid w:val="00132B79"/>
    <w:rsid w:val="00135800"/>
    <w:rsid w:val="00137996"/>
    <w:rsid w:val="001423B0"/>
    <w:rsid w:val="001437F2"/>
    <w:rsid w:val="001440CF"/>
    <w:rsid w:val="00144F96"/>
    <w:rsid w:val="00150641"/>
    <w:rsid w:val="00151EAC"/>
    <w:rsid w:val="00152C68"/>
    <w:rsid w:val="00153528"/>
    <w:rsid w:val="00153659"/>
    <w:rsid w:val="00153941"/>
    <w:rsid w:val="00153AF7"/>
    <w:rsid w:val="00154116"/>
    <w:rsid w:val="00154E68"/>
    <w:rsid w:val="001553DD"/>
    <w:rsid w:val="0015707D"/>
    <w:rsid w:val="00162548"/>
    <w:rsid w:val="001628B4"/>
    <w:rsid w:val="00163D48"/>
    <w:rsid w:val="00165FD3"/>
    <w:rsid w:val="00170C9E"/>
    <w:rsid w:val="0017138B"/>
    <w:rsid w:val="00171561"/>
    <w:rsid w:val="00172183"/>
    <w:rsid w:val="0017282B"/>
    <w:rsid w:val="00174284"/>
    <w:rsid w:val="001751AB"/>
    <w:rsid w:val="00175A3F"/>
    <w:rsid w:val="00176427"/>
    <w:rsid w:val="00180E09"/>
    <w:rsid w:val="00181DD4"/>
    <w:rsid w:val="001832A4"/>
    <w:rsid w:val="00183D4C"/>
    <w:rsid w:val="00183F6D"/>
    <w:rsid w:val="001844F2"/>
    <w:rsid w:val="00184B42"/>
    <w:rsid w:val="00185BC9"/>
    <w:rsid w:val="00185CB2"/>
    <w:rsid w:val="0018670E"/>
    <w:rsid w:val="0018681E"/>
    <w:rsid w:val="00187C00"/>
    <w:rsid w:val="00190516"/>
    <w:rsid w:val="00191505"/>
    <w:rsid w:val="00192A94"/>
    <w:rsid w:val="0019420B"/>
    <w:rsid w:val="0019495A"/>
    <w:rsid w:val="00194A73"/>
    <w:rsid w:val="00195077"/>
    <w:rsid w:val="001952A9"/>
    <w:rsid w:val="001A08AA"/>
    <w:rsid w:val="001A4177"/>
    <w:rsid w:val="001A7004"/>
    <w:rsid w:val="001B15E9"/>
    <w:rsid w:val="001B1820"/>
    <w:rsid w:val="001B4F40"/>
    <w:rsid w:val="001B6CCA"/>
    <w:rsid w:val="001C08F8"/>
    <w:rsid w:val="001C1409"/>
    <w:rsid w:val="001C2EC3"/>
    <w:rsid w:val="001C4517"/>
    <w:rsid w:val="001C4A89"/>
    <w:rsid w:val="001C50EC"/>
    <w:rsid w:val="001C529C"/>
    <w:rsid w:val="001C6177"/>
    <w:rsid w:val="001C636C"/>
    <w:rsid w:val="001C673A"/>
    <w:rsid w:val="001C7C0E"/>
    <w:rsid w:val="001C7D95"/>
    <w:rsid w:val="001D0363"/>
    <w:rsid w:val="001D12EA"/>
    <w:rsid w:val="001D39C5"/>
    <w:rsid w:val="001D3CD3"/>
    <w:rsid w:val="001D6BF1"/>
    <w:rsid w:val="001D7D94"/>
    <w:rsid w:val="001E064E"/>
    <w:rsid w:val="001E0673"/>
    <w:rsid w:val="001E170A"/>
    <w:rsid w:val="001E1D29"/>
    <w:rsid w:val="001E2DF5"/>
    <w:rsid w:val="001E4218"/>
    <w:rsid w:val="001E4B3E"/>
    <w:rsid w:val="001E51F6"/>
    <w:rsid w:val="001E52F2"/>
    <w:rsid w:val="001E72D2"/>
    <w:rsid w:val="001F0B20"/>
    <w:rsid w:val="001F102D"/>
    <w:rsid w:val="001F18A9"/>
    <w:rsid w:val="001F6C75"/>
    <w:rsid w:val="001F7E8A"/>
    <w:rsid w:val="00200A62"/>
    <w:rsid w:val="002010E0"/>
    <w:rsid w:val="0020272F"/>
    <w:rsid w:val="00203740"/>
    <w:rsid w:val="002046C7"/>
    <w:rsid w:val="00211143"/>
    <w:rsid w:val="0021162C"/>
    <w:rsid w:val="0021266C"/>
    <w:rsid w:val="00213818"/>
    <w:rsid w:val="002138EA"/>
    <w:rsid w:val="00213F84"/>
    <w:rsid w:val="00214FBD"/>
    <w:rsid w:val="00216DA0"/>
    <w:rsid w:val="00221F9A"/>
    <w:rsid w:val="00222897"/>
    <w:rsid w:val="00222B0C"/>
    <w:rsid w:val="002237CC"/>
    <w:rsid w:val="00227A12"/>
    <w:rsid w:val="0023055E"/>
    <w:rsid w:val="00230769"/>
    <w:rsid w:val="00230859"/>
    <w:rsid w:val="002321E8"/>
    <w:rsid w:val="00232E2B"/>
    <w:rsid w:val="00235394"/>
    <w:rsid w:val="00235577"/>
    <w:rsid w:val="00235AE7"/>
    <w:rsid w:val="0023668F"/>
    <w:rsid w:val="002405B0"/>
    <w:rsid w:val="00241B2C"/>
    <w:rsid w:val="00241FA4"/>
    <w:rsid w:val="0024273D"/>
    <w:rsid w:val="002435CA"/>
    <w:rsid w:val="00243EBA"/>
    <w:rsid w:val="0024469F"/>
    <w:rsid w:val="00244772"/>
    <w:rsid w:val="00251B51"/>
    <w:rsid w:val="002529D2"/>
    <w:rsid w:val="00252E27"/>
    <w:rsid w:val="002537BC"/>
    <w:rsid w:val="00254C45"/>
    <w:rsid w:val="0025509D"/>
    <w:rsid w:val="0025516F"/>
    <w:rsid w:val="0025538D"/>
    <w:rsid w:val="00255C56"/>
    <w:rsid w:val="00255C58"/>
    <w:rsid w:val="002606B7"/>
    <w:rsid w:val="00260EC7"/>
    <w:rsid w:val="0026179F"/>
    <w:rsid w:val="00261CBB"/>
    <w:rsid w:val="00262550"/>
    <w:rsid w:val="0026389A"/>
    <w:rsid w:val="00264F5A"/>
    <w:rsid w:val="00271A38"/>
    <w:rsid w:val="002749DD"/>
    <w:rsid w:val="00274E1A"/>
    <w:rsid w:val="002775B1"/>
    <w:rsid w:val="002775B9"/>
    <w:rsid w:val="002811C4"/>
    <w:rsid w:val="00281639"/>
    <w:rsid w:val="00282213"/>
    <w:rsid w:val="002830DA"/>
    <w:rsid w:val="00283E5E"/>
    <w:rsid w:val="00284016"/>
    <w:rsid w:val="002848C5"/>
    <w:rsid w:val="00284DE7"/>
    <w:rsid w:val="002858BF"/>
    <w:rsid w:val="00285FDB"/>
    <w:rsid w:val="00287D08"/>
    <w:rsid w:val="002928D0"/>
    <w:rsid w:val="002939AF"/>
    <w:rsid w:val="00294491"/>
    <w:rsid w:val="00294BDE"/>
    <w:rsid w:val="00295D81"/>
    <w:rsid w:val="00296A91"/>
    <w:rsid w:val="00297E2B"/>
    <w:rsid w:val="002A0346"/>
    <w:rsid w:val="002A07C2"/>
    <w:rsid w:val="002A0CED"/>
    <w:rsid w:val="002A26D2"/>
    <w:rsid w:val="002A2BEE"/>
    <w:rsid w:val="002A389C"/>
    <w:rsid w:val="002A3BB8"/>
    <w:rsid w:val="002A4CD0"/>
    <w:rsid w:val="002A5939"/>
    <w:rsid w:val="002A7DA6"/>
    <w:rsid w:val="002A7DC4"/>
    <w:rsid w:val="002B00C9"/>
    <w:rsid w:val="002B1D95"/>
    <w:rsid w:val="002B516C"/>
    <w:rsid w:val="002B51B1"/>
    <w:rsid w:val="002B60C1"/>
    <w:rsid w:val="002B68B0"/>
    <w:rsid w:val="002C1090"/>
    <w:rsid w:val="002C297F"/>
    <w:rsid w:val="002C2A07"/>
    <w:rsid w:val="002C32A9"/>
    <w:rsid w:val="002C340A"/>
    <w:rsid w:val="002C3573"/>
    <w:rsid w:val="002C4B52"/>
    <w:rsid w:val="002C4DF1"/>
    <w:rsid w:val="002C5C0E"/>
    <w:rsid w:val="002D03E5"/>
    <w:rsid w:val="002D0B21"/>
    <w:rsid w:val="002D11ED"/>
    <w:rsid w:val="002D14DE"/>
    <w:rsid w:val="002D2149"/>
    <w:rsid w:val="002D2A56"/>
    <w:rsid w:val="002D3587"/>
    <w:rsid w:val="002D36EB"/>
    <w:rsid w:val="002D7AFC"/>
    <w:rsid w:val="002E195F"/>
    <w:rsid w:val="002E2A1C"/>
    <w:rsid w:val="002E2CBE"/>
    <w:rsid w:val="002E2CE9"/>
    <w:rsid w:val="002E3288"/>
    <w:rsid w:val="002E345E"/>
    <w:rsid w:val="002E3BF7"/>
    <w:rsid w:val="002E549E"/>
    <w:rsid w:val="002E5694"/>
    <w:rsid w:val="002F114A"/>
    <w:rsid w:val="002F158C"/>
    <w:rsid w:val="002F2D2E"/>
    <w:rsid w:val="002F4093"/>
    <w:rsid w:val="002F55C2"/>
    <w:rsid w:val="002F5636"/>
    <w:rsid w:val="00301B29"/>
    <w:rsid w:val="003022A5"/>
    <w:rsid w:val="00303AF7"/>
    <w:rsid w:val="00305393"/>
    <w:rsid w:val="00305CF9"/>
    <w:rsid w:val="00305CFB"/>
    <w:rsid w:val="00307535"/>
    <w:rsid w:val="0030753F"/>
    <w:rsid w:val="003077AF"/>
    <w:rsid w:val="0031061B"/>
    <w:rsid w:val="00310712"/>
    <w:rsid w:val="00311116"/>
    <w:rsid w:val="00311148"/>
    <w:rsid w:val="003111F1"/>
    <w:rsid w:val="0031298A"/>
    <w:rsid w:val="00315267"/>
    <w:rsid w:val="0031577E"/>
    <w:rsid w:val="00315867"/>
    <w:rsid w:val="003202CF"/>
    <w:rsid w:val="00322146"/>
    <w:rsid w:val="00323613"/>
    <w:rsid w:val="00324956"/>
    <w:rsid w:val="0032544D"/>
    <w:rsid w:val="003260D7"/>
    <w:rsid w:val="003267D0"/>
    <w:rsid w:val="00326CAF"/>
    <w:rsid w:val="003302F3"/>
    <w:rsid w:val="003303EF"/>
    <w:rsid w:val="0033138D"/>
    <w:rsid w:val="003321FF"/>
    <w:rsid w:val="00332A1C"/>
    <w:rsid w:val="003356B9"/>
    <w:rsid w:val="00337A28"/>
    <w:rsid w:val="00341646"/>
    <w:rsid w:val="00342CE8"/>
    <w:rsid w:val="00351331"/>
    <w:rsid w:val="00351B8E"/>
    <w:rsid w:val="00352BCD"/>
    <w:rsid w:val="00352C53"/>
    <w:rsid w:val="00353BC8"/>
    <w:rsid w:val="00354654"/>
    <w:rsid w:val="00355873"/>
    <w:rsid w:val="0035660F"/>
    <w:rsid w:val="00357F4C"/>
    <w:rsid w:val="00357FAF"/>
    <w:rsid w:val="003628B9"/>
    <w:rsid w:val="003628F0"/>
    <w:rsid w:val="00362C6E"/>
    <w:rsid w:val="00362D8F"/>
    <w:rsid w:val="00367397"/>
    <w:rsid w:val="00367724"/>
    <w:rsid w:val="00367CB7"/>
    <w:rsid w:val="00370F68"/>
    <w:rsid w:val="0037239A"/>
    <w:rsid w:val="003729EC"/>
    <w:rsid w:val="003730C9"/>
    <w:rsid w:val="0037325F"/>
    <w:rsid w:val="00373CF5"/>
    <w:rsid w:val="00375B35"/>
    <w:rsid w:val="00375C55"/>
    <w:rsid w:val="003763D8"/>
    <w:rsid w:val="0037685F"/>
    <w:rsid w:val="00376BB3"/>
    <w:rsid w:val="003770F6"/>
    <w:rsid w:val="003811EA"/>
    <w:rsid w:val="0038258E"/>
    <w:rsid w:val="003849EE"/>
    <w:rsid w:val="00391FCC"/>
    <w:rsid w:val="00392D61"/>
    <w:rsid w:val="00393042"/>
    <w:rsid w:val="003938F7"/>
    <w:rsid w:val="00394AD5"/>
    <w:rsid w:val="003959F3"/>
    <w:rsid w:val="00395C5E"/>
    <w:rsid w:val="0039642D"/>
    <w:rsid w:val="003A066B"/>
    <w:rsid w:val="003A1DC8"/>
    <w:rsid w:val="003A2E40"/>
    <w:rsid w:val="003A342C"/>
    <w:rsid w:val="003A36EC"/>
    <w:rsid w:val="003A43FE"/>
    <w:rsid w:val="003A4F44"/>
    <w:rsid w:val="003A72FB"/>
    <w:rsid w:val="003A7EDE"/>
    <w:rsid w:val="003B0158"/>
    <w:rsid w:val="003B027F"/>
    <w:rsid w:val="003B0688"/>
    <w:rsid w:val="003B0EAA"/>
    <w:rsid w:val="003B1617"/>
    <w:rsid w:val="003B332F"/>
    <w:rsid w:val="003B3CB3"/>
    <w:rsid w:val="003B469B"/>
    <w:rsid w:val="003B4DE7"/>
    <w:rsid w:val="003B56DB"/>
    <w:rsid w:val="003B5A80"/>
    <w:rsid w:val="003B755E"/>
    <w:rsid w:val="003C000B"/>
    <w:rsid w:val="003C0FF6"/>
    <w:rsid w:val="003C1CA8"/>
    <w:rsid w:val="003C228E"/>
    <w:rsid w:val="003C30F4"/>
    <w:rsid w:val="003C3CDD"/>
    <w:rsid w:val="003C4274"/>
    <w:rsid w:val="003C51E7"/>
    <w:rsid w:val="003C6224"/>
    <w:rsid w:val="003C7B1F"/>
    <w:rsid w:val="003D0331"/>
    <w:rsid w:val="003D0CBF"/>
    <w:rsid w:val="003D1EFD"/>
    <w:rsid w:val="003D28BF"/>
    <w:rsid w:val="003D3E03"/>
    <w:rsid w:val="003D4215"/>
    <w:rsid w:val="003D576B"/>
    <w:rsid w:val="003D76A6"/>
    <w:rsid w:val="003D7719"/>
    <w:rsid w:val="003E0E24"/>
    <w:rsid w:val="003E1EEF"/>
    <w:rsid w:val="003E456F"/>
    <w:rsid w:val="003E741E"/>
    <w:rsid w:val="003E7C5E"/>
    <w:rsid w:val="003F0C1D"/>
    <w:rsid w:val="003F1C1B"/>
    <w:rsid w:val="003F2FEF"/>
    <w:rsid w:val="003F3452"/>
    <w:rsid w:val="003F35B1"/>
    <w:rsid w:val="003F6C42"/>
    <w:rsid w:val="003F6D17"/>
    <w:rsid w:val="003F7EEC"/>
    <w:rsid w:val="004007FE"/>
    <w:rsid w:val="00401144"/>
    <w:rsid w:val="00403CE7"/>
    <w:rsid w:val="00407661"/>
    <w:rsid w:val="00410314"/>
    <w:rsid w:val="00411995"/>
    <w:rsid w:val="00412063"/>
    <w:rsid w:val="00412EB1"/>
    <w:rsid w:val="00414118"/>
    <w:rsid w:val="00416084"/>
    <w:rsid w:val="00416811"/>
    <w:rsid w:val="004168BB"/>
    <w:rsid w:val="00416F79"/>
    <w:rsid w:val="00417DFD"/>
    <w:rsid w:val="00420587"/>
    <w:rsid w:val="00422F51"/>
    <w:rsid w:val="00423E9E"/>
    <w:rsid w:val="00424F8C"/>
    <w:rsid w:val="004255E1"/>
    <w:rsid w:val="004271BA"/>
    <w:rsid w:val="004328AB"/>
    <w:rsid w:val="00433F81"/>
    <w:rsid w:val="00433FE0"/>
    <w:rsid w:val="004344E5"/>
    <w:rsid w:val="00434DC1"/>
    <w:rsid w:val="004350F4"/>
    <w:rsid w:val="00435144"/>
    <w:rsid w:val="0043566B"/>
    <w:rsid w:val="004412A0"/>
    <w:rsid w:val="004418D3"/>
    <w:rsid w:val="00444527"/>
    <w:rsid w:val="00445301"/>
    <w:rsid w:val="004456F4"/>
    <w:rsid w:val="00447EC3"/>
    <w:rsid w:val="00450F27"/>
    <w:rsid w:val="004523CB"/>
    <w:rsid w:val="0045267C"/>
    <w:rsid w:val="00456A75"/>
    <w:rsid w:val="00461E39"/>
    <w:rsid w:val="00462D3A"/>
    <w:rsid w:val="004634EB"/>
    <w:rsid w:val="00463521"/>
    <w:rsid w:val="00465E19"/>
    <w:rsid w:val="00471125"/>
    <w:rsid w:val="0047437A"/>
    <w:rsid w:val="004761C5"/>
    <w:rsid w:val="004769C3"/>
    <w:rsid w:val="004811F4"/>
    <w:rsid w:val="004820A9"/>
    <w:rsid w:val="00484C51"/>
    <w:rsid w:val="0048543E"/>
    <w:rsid w:val="00485492"/>
    <w:rsid w:val="004854B4"/>
    <w:rsid w:val="00486711"/>
    <w:rsid w:val="004868C1"/>
    <w:rsid w:val="00486A5C"/>
    <w:rsid w:val="004871E4"/>
    <w:rsid w:val="0048750F"/>
    <w:rsid w:val="00487D36"/>
    <w:rsid w:val="00490FB2"/>
    <w:rsid w:val="004919E5"/>
    <w:rsid w:val="004929AF"/>
    <w:rsid w:val="00493D82"/>
    <w:rsid w:val="00493FA8"/>
    <w:rsid w:val="00494D6A"/>
    <w:rsid w:val="00495D6D"/>
    <w:rsid w:val="004A09D4"/>
    <w:rsid w:val="004A20DA"/>
    <w:rsid w:val="004A2652"/>
    <w:rsid w:val="004A495F"/>
    <w:rsid w:val="004A577A"/>
    <w:rsid w:val="004A71D7"/>
    <w:rsid w:val="004B149F"/>
    <w:rsid w:val="004B33EE"/>
    <w:rsid w:val="004B42CE"/>
    <w:rsid w:val="004B49EB"/>
    <w:rsid w:val="004B6095"/>
    <w:rsid w:val="004B6B0F"/>
    <w:rsid w:val="004B762D"/>
    <w:rsid w:val="004C15FF"/>
    <w:rsid w:val="004C178B"/>
    <w:rsid w:val="004C2567"/>
    <w:rsid w:val="004C304A"/>
    <w:rsid w:val="004C33EA"/>
    <w:rsid w:val="004C398A"/>
    <w:rsid w:val="004C68EB"/>
    <w:rsid w:val="004C6B3D"/>
    <w:rsid w:val="004D020E"/>
    <w:rsid w:val="004D0A19"/>
    <w:rsid w:val="004D21D6"/>
    <w:rsid w:val="004D286E"/>
    <w:rsid w:val="004D43CA"/>
    <w:rsid w:val="004D67CC"/>
    <w:rsid w:val="004D7E18"/>
    <w:rsid w:val="004E1ECF"/>
    <w:rsid w:val="004E2659"/>
    <w:rsid w:val="004E30DF"/>
    <w:rsid w:val="004E39EE"/>
    <w:rsid w:val="004E41AF"/>
    <w:rsid w:val="004E4237"/>
    <w:rsid w:val="004E4CF8"/>
    <w:rsid w:val="004E56E0"/>
    <w:rsid w:val="004E62C0"/>
    <w:rsid w:val="004E7329"/>
    <w:rsid w:val="004E7887"/>
    <w:rsid w:val="004F077C"/>
    <w:rsid w:val="004F0DFB"/>
    <w:rsid w:val="004F2CB0"/>
    <w:rsid w:val="004F5B20"/>
    <w:rsid w:val="005017F7"/>
    <w:rsid w:val="00501BA3"/>
    <w:rsid w:val="00501FA7"/>
    <w:rsid w:val="005036A1"/>
    <w:rsid w:val="00504ACE"/>
    <w:rsid w:val="00505BFA"/>
    <w:rsid w:val="005068AE"/>
    <w:rsid w:val="005071B4"/>
    <w:rsid w:val="00510D97"/>
    <w:rsid w:val="005117A9"/>
    <w:rsid w:val="00511B22"/>
    <w:rsid w:val="00511F57"/>
    <w:rsid w:val="005131D3"/>
    <w:rsid w:val="00515CBE"/>
    <w:rsid w:val="00515E2B"/>
    <w:rsid w:val="00517354"/>
    <w:rsid w:val="005173CE"/>
    <w:rsid w:val="00521DDF"/>
    <w:rsid w:val="00522A7E"/>
    <w:rsid w:val="00522F20"/>
    <w:rsid w:val="00524D4F"/>
    <w:rsid w:val="005259B8"/>
    <w:rsid w:val="005273F5"/>
    <w:rsid w:val="00530A2E"/>
    <w:rsid w:val="00530FBE"/>
    <w:rsid w:val="005339DB"/>
    <w:rsid w:val="00534815"/>
    <w:rsid w:val="00534C89"/>
    <w:rsid w:val="0053594E"/>
    <w:rsid w:val="00541573"/>
    <w:rsid w:val="00541D12"/>
    <w:rsid w:val="00541D59"/>
    <w:rsid w:val="0054348A"/>
    <w:rsid w:val="0054383B"/>
    <w:rsid w:val="005452A7"/>
    <w:rsid w:val="005452AA"/>
    <w:rsid w:val="0054788C"/>
    <w:rsid w:val="00550DD1"/>
    <w:rsid w:val="00550E5A"/>
    <w:rsid w:val="0055136F"/>
    <w:rsid w:val="005516EA"/>
    <w:rsid w:val="005576DA"/>
    <w:rsid w:val="0055778C"/>
    <w:rsid w:val="0056321E"/>
    <w:rsid w:val="0056479E"/>
    <w:rsid w:val="00571673"/>
    <w:rsid w:val="005736EC"/>
    <w:rsid w:val="005757D6"/>
    <w:rsid w:val="00580E1E"/>
    <w:rsid w:val="005814E2"/>
    <w:rsid w:val="00582081"/>
    <w:rsid w:val="00583A2D"/>
    <w:rsid w:val="0058519C"/>
    <w:rsid w:val="005872BC"/>
    <w:rsid w:val="00587552"/>
    <w:rsid w:val="00593201"/>
    <w:rsid w:val="005956EE"/>
    <w:rsid w:val="00595B3C"/>
    <w:rsid w:val="00595F15"/>
    <w:rsid w:val="005976B1"/>
    <w:rsid w:val="005A083E"/>
    <w:rsid w:val="005A2AAE"/>
    <w:rsid w:val="005A2ECB"/>
    <w:rsid w:val="005A3355"/>
    <w:rsid w:val="005A4468"/>
    <w:rsid w:val="005A4EA2"/>
    <w:rsid w:val="005A74E2"/>
    <w:rsid w:val="005A7A26"/>
    <w:rsid w:val="005B03C2"/>
    <w:rsid w:val="005B0A97"/>
    <w:rsid w:val="005B145A"/>
    <w:rsid w:val="005B44FA"/>
    <w:rsid w:val="005B4F04"/>
    <w:rsid w:val="005B7C47"/>
    <w:rsid w:val="005C0423"/>
    <w:rsid w:val="005C087C"/>
    <w:rsid w:val="005C09A5"/>
    <w:rsid w:val="005C10D6"/>
    <w:rsid w:val="005C1EA6"/>
    <w:rsid w:val="005C20B6"/>
    <w:rsid w:val="005C52B4"/>
    <w:rsid w:val="005D0B99"/>
    <w:rsid w:val="005D190F"/>
    <w:rsid w:val="005D2499"/>
    <w:rsid w:val="005D308E"/>
    <w:rsid w:val="005D3A48"/>
    <w:rsid w:val="005D5AC0"/>
    <w:rsid w:val="005D6E74"/>
    <w:rsid w:val="005D7BA1"/>
    <w:rsid w:val="005D7D8C"/>
    <w:rsid w:val="005D7E46"/>
    <w:rsid w:val="005E0AF4"/>
    <w:rsid w:val="005E5C23"/>
    <w:rsid w:val="005E726D"/>
    <w:rsid w:val="005E774A"/>
    <w:rsid w:val="005F006F"/>
    <w:rsid w:val="005F07E1"/>
    <w:rsid w:val="005F2145"/>
    <w:rsid w:val="005F25CC"/>
    <w:rsid w:val="005F2E6B"/>
    <w:rsid w:val="005F3925"/>
    <w:rsid w:val="005F3E0F"/>
    <w:rsid w:val="005F57D1"/>
    <w:rsid w:val="005F64C2"/>
    <w:rsid w:val="00600202"/>
    <w:rsid w:val="00600BA4"/>
    <w:rsid w:val="006016E1"/>
    <w:rsid w:val="00602D27"/>
    <w:rsid w:val="006078E8"/>
    <w:rsid w:val="00613625"/>
    <w:rsid w:val="006144A1"/>
    <w:rsid w:val="00614744"/>
    <w:rsid w:val="00616096"/>
    <w:rsid w:val="006160A2"/>
    <w:rsid w:val="0062168F"/>
    <w:rsid w:val="00622D62"/>
    <w:rsid w:val="00622DFE"/>
    <w:rsid w:val="00626535"/>
    <w:rsid w:val="00626E41"/>
    <w:rsid w:val="00627C21"/>
    <w:rsid w:val="006302AA"/>
    <w:rsid w:val="0063038C"/>
    <w:rsid w:val="0063394D"/>
    <w:rsid w:val="006341D5"/>
    <w:rsid w:val="00634D84"/>
    <w:rsid w:val="00635B33"/>
    <w:rsid w:val="006363BD"/>
    <w:rsid w:val="00637608"/>
    <w:rsid w:val="006403BE"/>
    <w:rsid w:val="00640CAC"/>
    <w:rsid w:val="006412DC"/>
    <w:rsid w:val="006421C4"/>
    <w:rsid w:val="006437E5"/>
    <w:rsid w:val="0064399B"/>
    <w:rsid w:val="00644790"/>
    <w:rsid w:val="00644CB4"/>
    <w:rsid w:val="00644E62"/>
    <w:rsid w:val="00647C45"/>
    <w:rsid w:val="006501AF"/>
    <w:rsid w:val="00650DDE"/>
    <w:rsid w:val="0065360C"/>
    <w:rsid w:val="00653A36"/>
    <w:rsid w:val="00653E71"/>
    <w:rsid w:val="0065561E"/>
    <w:rsid w:val="00656CCF"/>
    <w:rsid w:val="00660AE2"/>
    <w:rsid w:val="00661B07"/>
    <w:rsid w:val="0066447B"/>
    <w:rsid w:val="006667C7"/>
    <w:rsid w:val="00666E03"/>
    <w:rsid w:val="00671AD6"/>
    <w:rsid w:val="00672307"/>
    <w:rsid w:val="006736C7"/>
    <w:rsid w:val="006808C6"/>
    <w:rsid w:val="00681BD6"/>
    <w:rsid w:val="00683E31"/>
    <w:rsid w:val="006907F9"/>
    <w:rsid w:val="006929FD"/>
    <w:rsid w:val="00692A68"/>
    <w:rsid w:val="00695D85"/>
    <w:rsid w:val="00696DB7"/>
    <w:rsid w:val="006972A2"/>
    <w:rsid w:val="0069790A"/>
    <w:rsid w:val="00697AEF"/>
    <w:rsid w:val="006A2715"/>
    <w:rsid w:val="006A3245"/>
    <w:rsid w:val="006A39DE"/>
    <w:rsid w:val="006A5171"/>
    <w:rsid w:val="006A5871"/>
    <w:rsid w:val="006A6D23"/>
    <w:rsid w:val="006B012A"/>
    <w:rsid w:val="006B111B"/>
    <w:rsid w:val="006B18C8"/>
    <w:rsid w:val="006B5654"/>
    <w:rsid w:val="006B685F"/>
    <w:rsid w:val="006C0717"/>
    <w:rsid w:val="006C1112"/>
    <w:rsid w:val="006C1C3B"/>
    <w:rsid w:val="006C241D"/>
    <w:rsid w:val="006C37B3"/>
    <w:rsid w:val="006C4E43"/>
    <w:rsid w:val="006C585B"/>
    <w:rsid w:val="006C5A8E"/>
    <w:rsid w:val="006C5EFA"/>
    <w:rsid w:val="006C62D3"/>
    <w:rsid w:val="006C6435"/>
    <w:rsid w:val="006C643E"/>
    <w:rsid w:val="006C7ACB"/>
    <w:rsid w:val="006D3671"/>
    <w:rsid w:val="006D470A"/>
    <w:rsid w:val="006D48B8"/>
    <w:rsid w:val="006D5659"/>
    <w:rsid w:val="006D7AA3"/>
    <w:rsid w:val="006E0A73"/>
    <w:rsid w:val="006E0FEE"/>
    <w:rsid w:val="006E2F4C"/>
    <w:rsid w:val="006E36B3"/>
    <w:rsid w:val="006E57EB"/>
    <w:rsid w:val="006E59F4"/>
    <w:rsid w:val="006E675A"/>
    <w:rsid w:val="006E6C11"/>
    <w:rsid w:val="006E6ED2"/>
    <w:rsid w:val="006E7881"/>
    <w:rsid w:val="006E7FC9"/>
    <w:rsid w:val="006F3D47"/>
    <w:rsid w:val="006F5564"/>
    <w:rsid w:val="006F57C6"/>
    <w:rsid w:val="006F74E4"/>
    <w:rsid w:val="006F7C0C"/>
    <w:rsid w:val="00700755"/>
    <w:rsid w:val="00700954"/>
    <w:rsid w:val="007023B9"/>
    <w:rsid w:val="00704EFF"/>
    <w:rsid w:val="0070641C"/>
    <w:rsid w:val="0070646B"/>
    <w:rsid w:val="0071041B"/>
    <w:rsid w:val="00710A2C"/>
    <w:rsid w:val="00711D12"/>
    <w:rsid w:val="0071232B"/>
    <w:rsid w:val="007130A2"/>
    <w:rsid w:val="00715463"/>
    <w:rsid w:val="007167D8"/>
    <w:rsid w:val="0071705D"/>
    <w:rsid w:val="00721E1E"/>
    <w:rsid w:val="00722413"/>
    <w:rsid w:val="0072327C"/>
    <w:rsid w:val="00725FFB"/>
    <w:rsid w:val="00727F46"/>
    <w:rsid w:val="00730655"/>
    <w:rsid w:val="007318A1"/>
    <w:rsid w:val="00731D77"/>
    <w:rsid w:val="00731F9B"/>
    <w:rsid w:val="00732360"/>
    <w:rsid w:val="00733588"/>
    <w:rsid w:val="0073390A"/>
    <w:rsid w:val="00733CC0"/>
    <w:rsid w:val="00734E64"/>
    <w:rsid w:val="00735BC3"/>
    <w:rsid w:val="00736B37"/>
    <w:rsid w:val="00736F41"/>
    <w:rsid w:val="007375C6"/>
    <w:rsid w:val="007402E9"/>
    <w:rsid w:val="007439E9"/>
    <w:rsid w:val="00746CC9"/>
    <w:rsid w:val="00747516"/>
    <w:rsid w:val="00747ED1"/>
    <w:rsid w:val="00750825"/>
    <w:rsid w:val="00750FD8"/>
    <w:rsid w:val="00751001"/>
    <w:rsid w:val="007520B4"/>
    <w:rsid w:val="007530EF"/>
    <w:rsid w:val="00753BED"/>
    <w:rsid w:val="00760721"/>
    <w:rsid w:val="00760F95"/>
    <w:rsid w:val="00761E9F"/>
    <w:rsid w:val="00761F65"/>
    <w:rsid w:val="00761FA8"/>
    <w:rsid w:val="00764142"/>
    <w:rsid w:val="00767B67"/>
    <w:rsid w:val="00770C21"/>
    <w:rsid w:val="00771C8C"/>
    <w:rsid w:val="007721EE"/>
    <w:rsid w:val="00772410"/>
    <w:rsid w:val="00772CE9"/>
    <w:rsid w:val="007737D8"/>
    <w:rsid w:val="00774598"/>
    <w:rsid w:val="007757E7"/>
    <w:rsid w:val="007758AC"/>
    <w:rsid w:val="007763C1"/>
    <w:rsid w:val="007766C1"/>
    <w:rsid w:val="007776FD"/>
    <w:rsid w:val="00777E82"/>
    <w:rsid w:val="0078031E"/>
    <w:rsid w:val="00781359"/>
    <w:rsid w:val="0078325C"/>
    <w:rsid w:val="00785251"/>
    <w:rsid w:val="00787237"/>
    <w:rsid w:val="0079126D"/>
    <w:rsid w:val="00791B81"/>
    <w:rsid w:val="00794A50"/>
    <w:rsid w:val="007977C8"/>
    <w:rsid w:val="007A06D5"/>
    <w:rsid w:val="007A1DA0"/>
    <w:rsid w:val="007A5ACC"/>
    <w:rsid w:val="007A5FE3"/>
    <w:rsid w:val="007A6D4E"/>
    <w:rsid w:val="007A6D8E"/>
    <w:rsid w:val="007A79FD"/>
    <w:rsid w:val="007A7EB9"/>
    <w:rsid w:val="007B0B9D"/>
    <w:rsid w:val="007B157E"/>
    <w:rsid w:val="007B29E0"/>
    <w:rsid w:val="007B43D6"/>
    <w:rsid w:val="007B5A43"/>
    <w:rsid w:val="007B709B"/>
    <w:rsid w:val="007C1343"/>
    <w:rsid w:val="007C1C76"/>
    <w:rsid w:val="007C1D53"/>
    <w:rsid w:val="007C1E65"/>
    <w:rsid w:val="007C3434"/>
    <w:rsid w:val="007C4050"/>
    <w:rsid w:val="007C4640"/>
    <w:rsid w:val="007C5EF1"/>
    <w:rsid w:val="007C68FC"/>
    <w:rsid w:val="007C7BF5"/>
    <w:rsid w:val="007D1B89"/>
    <w:rsid w:val="007D4B4A"/>
    <w:rsid w:val="007D75E5"/>
    <w:rsid w:val="007D773E"/>
    <w:rsid w:val="007E066E"/>
    <w:rsid w:val="007E1356"/>
    <w:rsid w:val="007E1966"/>
    <w:rsid w:val="007E20FC"/>
    <w:rsid w:val="007E26E7"/>
    <w:rsid w:val="007E3749"/>
    <w:rsid w:val="007E4525"/>
    <w:rsid w:val="007E4CD4"/>
    <w:rsid w:val="007E7062"/>
    <w:rsid w:val="007E75D2"/>
    <w:rsid w:val="007E79AF"/>
    <w:rsid w:val="007F0E1E"/>
    <w:rsid w:val="007F29A7"/>
    <w:rsid w:val="007F2D47"/>
    <w:rsid w:val="007F31CD"/>
    <w:rsid w:val="007F357E"/>
    <w:rsid w:val="007F409E"/>
    <w:rsid w:val="007F5692"/>
    <w:rsid w:val="007F5FB0"/>
    <w:rsid w:val="007F6658"/>
    <w:rsid w:val="008019B9"/>
    <w:rsid w:val="008021CD"/>
    <w:rsid w:val="00802CBD"/>
    <w:rsid w:val="00803440"/>
    <w:rsid w:val="00803915"/>
    <w:rsid w:val="008051D1"/>
    <w:rsid w:val="00810294"/>
    <w:rsid w:val="00813175"/>
    <w:rsid w:val="00813872"/>
    <w:rsid w:val="00813D73"/>
    <w:rsid w:val="008145E5"/>
    <w:rsid w:val="00816078"/>
    <w:rsid w:val="008171F3"/>
    <w:rsid w:val="008177E3"/>
    <w:rsid w:val="00820415"/>
    <w:rsid w:val="00821DDF"/>
    <w:rsid w:val="008232F5"/>
    <w:rsid w:val="00823AA9"/>
    <w:rsid w:val="00825CD8"/>
    <w:rsid w:val="00827324"/>
    <w:rsid w:val="00832496"/>
    <w:rsid w:val="00836AD4"/>
    <w:rsid w:val="00837AAE"/>
    <w:rsid w:val="008417F2"/>
    <w:rsid w:val="008428E7"/>
    <w:rsid w:val="008429AD"/>
    <w:rsid w:val="008443C0"/>
    <w:rsid w:val="00850A7B"/>
    <w:rsid w:val="00850C75"/>
    <w:rsid w:val="00850E39"/>
    <w:rsid w:val="00852EBF"/>
    <w:rsid w:val="00852EEF"/>
    <w:rsid w:val="008539F6"/>
    <w:rsid w:val="008548DD"/>
    <w:rsid w:val="00854EF2"/>
    <w:rsid w:val="00855173"/>
    <w:rsid w:val="008557D9"/>
    <w:rsid w:val="00855BF7"/>
    <w:rsid w:val="00855EF9"/>
    <w:rsid w:val="00856214"/>
    <w:rsid w:val="0086027E"/>
    <w:rsid w:val="0086047E"/>
    <w:rsid w:val="0086060E"/>
    <w:rsid w:val="0086122F"/>
    <w:rsid w:val="008618FD"/>
    <w:rsid w:val="00862089"/>
    <w:rsid w:val="00863A8A"/>
    <w:rsid w:val="00863A9E"/>
    <w:rsid w:val="00866D5B"/>
    <w:rsid w:val="00866FF5"/>
    <w:rsid w:val="008675CA"/>
    <w:rsid w:val="00867ADD"/>
    <w:rsid w:val="00867AE8"/>
    <w:rsid w:val="00870BA4"/>
    <w:rsid w:val="00871E3E"/>
    <w:rsid w:val="008722A5"/>
    <w:rsid w:val="00873E1F"/>
    <w:rsid w:val="00874C16"/>
    <w:rsid w:val="00877D2F"/>
    <w:rsid w:val="00882F62"/>
    <w:rsid w:val="008858E2"/>
    <w:rsid w:val="008865BF"/>
    <w:rsid w:val="00886653"/>
    <w:rsid w:val="00886D1F"/>
    <w:rsid w:val="00886F1E"/>
    <w:rsid w:val="008871E9"/>
    <w:rsid w:val="008903AA"/>
    <w:rsid w:val="00891272"/>
    <w:rsid w:val="0089178B"/>
    <w:rsid w:val="00891EE1"/>
    <w:rsid w:val="00893987"/>
    <w:rsid w:val="008963EF"/>
    <w:rsid w:val="0089688E"/>
    <w:rsid w:val="008969A4"/>
    <w:rsid w:val="008A0333"/>
    <w:rsid w:val="008A1013"/>
    <w:rsid w:val="008A19E0"/>
    <w:rsid w:val="008A1FBE"/>
    <w:rsid w:val="008A4046"/>
    <w:rsid w:val="008B1CF7"/>
    <w:rsid w:val="008B1DF0"/>
    <w:rsid w:val="008B2961"/>
    <w:rsid w:val="008B2A0E"/>
    <w:rsid w:val="008B5AE7"/>
    <w:rsid w:val="008B5DB5"/>
    <w:rsid w:val="008B789A"/>
    <w:rsid w:val="008C184A"/>
    <w:rsid w:val="008C31D7"/>
    <w:rsid w:val="008C4049"/>
    <w:rsid w:val="008C4666"/>
    <w:rsid w:val="008C60E9"/>
    <w:rsid w:val="008D1B7C"/>
    <w:rsid w:val="008D1C86"/>
    <w:rsid w:val="008D3E70"/>
    <w:rsid w:val="008D482A"/>
    <w:rsid w:val="008D6657"/>
    <w:rsid w:val="008D72B6"/>
    <w:rsid w:val="008E0362"/>
    <w:rsid w:val="008E0733"/>
    <w:rsid w:val="008E17F5"/>
    <w:rsid w:val="008E1F60"/>
    <w:rsid w:val="008E24E9"/>
    <w:rsid w:val="008E307E"/>
    <w:rsid w:val="008E3700"/>
    <w:rsid w:val="008E4C82"/>
    <w:rsid w:val="008E7796"/>
    <w:rsid w:val="008E7952"/>
    <w:rsid w:val="008F18FD"/>
    <w:rsid w:val="008F1F17"/>
    <w:rsid w:val="008F2829"/>
    <w:rsid w:val="008F299B"/>
    <w:rsid w:val="008F2A72"/>
    <w:rsid w:val="008F3138"/>
    <w:rsid w:val="008F4C2F"/>
    <w:rsid w:val="008F4D02"/>
    <w:rsid w:val="008F544F"/>
    <w:rsid w:val="008F593D"/>
    <w:rsid w:val="008F6056"/>
    <w:rsid w:val="00901B5C"/>
    <w:rsid w:val="00901DD0"/>
    <w:rsid w:val="00902C07"/>
    <w:rsid w:val="00905652"/>
    <w:rsid w:val="00905804"/>
    <w:rsid w:val="0090796D"/>
    <w:rsid w:val="009101E2"/>
    <w:rsid w:val="00910A49"/>
    <w:rsid w:val="00911C55"/>
    <w:rsid w:val="009149B2"/>
    <w:rsid w:val="00914B09"/>
    <w:rsid w:val="00915A29"/>
    <w:rsid w:val="00915A62"/>
    <w:rsid w:val="00915D73"/>
    <w:rsid w:val="00916077"/>
    <w:rsid w:val="009170A2"/>
    <w:rsid w:val="0091727C"/>
    <w:rsid w:val="009208A6"/>
    <w:rsid w:val="009232A3"/>
    <w:rsid w:val="00923E35"/>
    <w:rsid w:val="00924514"/>
    <w:rsid w:val="009256D1"/>
    <w:rsid w:val="009269B8"/>
    <w:rsid w:val="00927316"/>
    <w:rsid w:val="00927C5A"/>
    <w:rsid w:val="00931B8C"/>
    <w:rsid w:val="009331BD"/>
    <w:rsid w:val="00933D12"/>
    <w:rsid w:val="00936E69"/>
    <w:rsid w:val="00937065"/>
    <w:rsid w:val="00940285"/>
    <w:rsid w:val="009410D5"/>
    <w:rsid w:val="0094483E"/>
    <w:rsid w:val="00944EF4"/>
    <w:rsid w:val="00946425"/>
    <w:rsid w:val="00947E7E"/>
    <w:rsid w:val="00950254"/>
    <w:rsid w:val="0095139A"/>
    <w:rsid w:val="00952320"/>
    <w:rsid w:val="00953E16"/>
    <w:rsid w:val="009542AC"/>
    <w:rsid w:val="00955FA1"/>
    <w:rsid w:val="00956D06"/>
    <w:rsid w:val="00957066"/>
    <w:rsid w:val="00957239"/>
    <w:rsid w:val="009610D9"/>
    <w:rsid w:val="009629FF"/>
    <w:rsid w:val="009638D6"/>
    <w:rsid w:val="009664CA"/>
    <w:rsid w:val="0096769E"/>
    <w:rsid w:val="00967DBC"/>
    <w:rsid w:val="00967F36"/>
    <w:rsid w:val="009728FA"/>
    <w:rsid w:val="0097408E"/>
    <w:rsid w:val="00974BB2"/>
    <w:rsid w:val="00974FA7"/>
    <w:rsid w:val="009756E5"/>
    <w:rsid w:val="009760F1"/>
    <w:rsid w:val="009770B7"/>
    <w:rsid w:val="00977A8C"/>
    <w:rsid w:val="00980611"/>
    <w:rsid w:val="009817F0"/>
    <w:rsid w:val="00981BDA"/>
    <w:rsid w:val="00983910"/>
    <w:rsid w:val="00983BAF"/>
    <w:rsid w:val="00983D09"/>
    <w:rsid w:val="009861E7"/>
    <w:rsid w:val="009863A5"/>
    <w:rsid w:val="00986DAB"/>
    <w:rsid w:val="009871F8"/>
    <w:rsid w:val="00987C8E"/>
    <w:rsid w:val="00990D90"/>
    <w:rsid w:val="009932AC"/>
    <w:rsid w:val="00996E1E"/>
    <w:rsid w:val="009A13C5"/>
    <w:rsid w:val="009A1DBF"/>
    <w:rsid w:val="009A3B3C"/>
    <w:rsid w:val="009A68E6"/>
    <w:rsid w:val="009A7598"/>
    <w:rsid w:val="009B144A"/>
    <w:rsid w:val="009B1D10"/>
    <w:rsid w:val="009B1DF8"/>
    <w:rsid w:val="009B2120"/>
    <w:rsid w:val="009B3D20"/>
    <w:rsid w:val="009B53EB"/>
    <w:rsid w:val="009B5418"/>
    <w:rsid w:val="009B5B68"/>
    <w:rsid w:val="009B6531"/>
    <w:rsid w:val="009B699F"/>
    <w:rsid w:val="009B6A2D"/>
    <w:rsid w:val="009B7197"/>
    <w:rsid w:val="009B7212"/>
    <w:rsid w:val="009C0727"/>
    <w:rsid w:val="009C1030"/>
    <w:rsid w:val="009C3207"/>
    <w:rsid w:val="009C4072"/>
    <w:rsid w:val="009C492F"/>
    <w:rsid w:val="009C5F17"/>
    <w:rsid w:val="009D087C"/>
    <w:rsid w:val="009D1C0C"/>
    <w:rsid w:val="009D279A"/>
    <w:rsid w:val="009D2FF2"/>
    <w:rsid w:val="009D3226"/>
    <w:rsid w:val="009D3385"/>
    <w:rsid w:val="009D4069"/>
    <w:rsid w:val="009D428C"/>
    <w:rsid w:val="009D5185"/>
    <w:rsid w:val="009D5548"/>
    <w:rsid w:val="009D7B59"/>
    <w:rsid w:val="009D7EC4"/>
    <w:rsid w:val="009E13CC"/>
    <w:rsid w:val="009E156C"/>
    <w:rsid w:val="009E16A9"/>
    <w:rsid w:val="009E311B"/>
    <w:rsid w:val="009E375F"/>
    <w:rsid w:val="009E5401"/>
    <w:rsid w:val="009E55BE"/>
    <w:rsid w:val="009E6A9F"/>
    <w:rsid w:val="009F05A3"/>
    <w:rsid w:val="009F1736"/>
    <w:rsid w:val="009F30F4"/>
    <w:rsid w:val="009F40A7"/>
    <w:rsid w:val="009F7ED2"/>
    <w:rsid w:val="00A0030E"/>
    <w:rsid w:val="00A02655"/>
    <w:rsid w:val="00A05B26"/>
    <w:rsid w:val="00A06AAF"/>
    <w:rsid w:val="00A0758F"/>
    <w:rsid w:val="00A07BCD"/>
    <w:rsid w:val="00A10439"/>
    <w:rsid w:val="00A11E3B"/>
    <w:rsid w:val="00A13468"/>
    <w:rsid w:val="00A1570A"/>
    <w:rsid w:val="00A211B4"/>
    <w:rsid w:val="00A211F9"/>
    <w:rsid w:val="00A21BC5"/>
    <w:rsid w:val="00A23EFD"/>
    <w:rsid w:val="00A306AC"/>
    <w:rsid w:val="00A327D7"/>
    <w:rsid w:val="00A33B4F"/>
    <w:rsid w:val="00A33DDF"/>
    <w:rsid w:val="00A34547"/>
    <w:rsid w:val="00A362DE"/>
    <w:rsid w:val="00A376B7"/>
    <w:rsid w:val="00A405FE"/>
    <w:rsid w:val="00A41BF5"/>
    <w:rsid w:val="00A421FA"/>
    <w:rsid w:val="00A434AD"/>
    <w:rsid w:val="00A43F09"/>
    <w:rsid w:val="00A447C4"/>
    <w:rsid w:val="00A469E7"/>
    <w:rsid w:val="00A503DB"/>
    <w:rsid w:val="00A52133"/>
    <w:rsid w:val="00A548ED"/>
    <w:rsid w:val="00A56596"/>
    <w:rsid w:val="00A604A4"/>
    <w:rsid w:val="00A64004"/>
    <w:rsid w:val="00A64A13"/>
    <w:rsid w:val="00A6605B"/>
    <w:rsid w:val="00A66ADC"/>
    <w:rsid w:val="00A66CE0"/>
    <w:rsid w:val="00A70128"/>
    <w:rsid w:val="00A7118B"/>
    <w:rsid w:val="00A7147D"/>
    <w:rsid w:val="00A724EC"/>
    <w:rsid w:val="00A72612"/>
    <w:rsid w:val="00A77C46"/>
    <w:rsid w:val="00A812CF"/>
    <w:rsid w:val="00A81336"/>
    <w:rsid w:val="00A81B15"/>
    <w:rsid w:val="00A82C0D"/>
    <w:rsid w:val="00A837FF"/>
    <w:rsid w:val="00A846DF"/>
    <w:rsid w:val="00A84DC8"/>
    <w:rsid w:val="00A85BA5"/>
    <w:rsid w:val="00A85DBC"/>
    <w:rsid w:val="00A87FEB"/>
    <w:rsid w:val="00A90F7B"/>
    <w:rsid w:val="00A937BC"/>
    <w:rsid w:val="00A93F9F"/>
    <w:rsid w:val="00A9420E"/>
    <w:rsid w:val="00A97648"/>
    <w:rsid w:val="00AA1CFD"/>
    <w:rsid w:val="00AA2239"/>
    <w:rsid w:val="00AA33D2"/>
    <w:rsid w:val="00AA34ED"/>
    <w:rsid w:val="00AA646D"/>
    <w:rsid w:val="00AB0C57"/>
    <w:rsid w:val="00AB1195"/>
    <w:rsid w:val="00AB1374"/>
    <w:rsid w:val="00AB1ACD"/>
    <w:rsid w:val="00AB2A32"/>
    <w:rsid w:val="00AB4182"/>
    <w:rsid w:val="00AB4210"/>
    <w:rsid w:val="00AB462C"/>
    <w:rsid w:val="00AB5793"/>
    <w:rsid w:val="00AB6423"/>
    <w:rsid w:val="00AB7BEA"/>
    <w:rsid w:val="00AC1202"/>
    <w:rsid w:val="00AC27DB"/>
    <w:rsid w:val="00AC6D6B"/>
    <w:rsid w:val="00AC6E25"/>
    <w:rsid w:val="00AC74CD"/>
    <w:rsid w:val="00AD0353"/>
    <w:rsid w:val="00AD1085"/>
    <w:rsid w:val="00AD1515"/>
    <w:rsid w:val="00AD21F0"/>
    <w:rsid w:val="00AD384C"/>
    <w:rsid w:val="00AD3BD4"/>
    <w:rsid w:val="00AD3FB9"/>
    <w:rsid w:val="00AD47A8"/>
    <w:rsid w:val="00AD667D"/>
    <w:rsid w:val="00AD7736"/>
    <w:rsid w:val="00AD785D"/>
    <w:rsid w:val="00AE1D5F"/>
    <w:rsid w:val="00AE2B50"/>
    <w:rsid w:val="00AE4ED8"/>
    <w:rsid w:val="00AE70D4"/>
    <w:rsid w:val="00AE7684"/>
    <w:rsid w:val="00AE7868"/>
    <w:rsid w:val="00AF0407"/>
    <w:rsid w:val="00AF1DFE"/>
    <w:rsid w:val="00AF2C63"/>
    <w:rsid w:val="00AF2CE2"/>
    <w:rsid w:val="00AF2EA8"/>
    <w:rsid w:val="00AF30F5"/>
    <w:rsid w:val="00AF3204"/>
    <w:rsid w:val="00AF7018"/>
    <w:rsid w:val="00B00012"/>
    <w:rsid w:val="00B02FD3"/>
    <w:rsid w:val="00B0508E"/>
    <w:rsid w:val="00B05F90"/>
    <w:rsid w:val="00B072AB"/>
    <w:rsid w:val="00B07BC6"/>
    <w:rsid w:val="00B1071A"/>
    <w:rsid w:val="00B110EE"/>
    <w:rsid w:val="00B12E89"/>
    <w:rsid w:val="00B1607C"/>
    <w:rsid w:val="00B163F8"/>
    <w:rsid w:val="00B17E5F"/>
    <w:rsid w:val="00B17F9F"/>
    <w:rsid w:val="00B21700"/>
    <w:rsid w:val="00B21709"/>
    <w:rsid w:val="00B23A8F"/>
    <w:rsid w:val="00B2472D"/>
    <w:rsid w:val="00B2549F"/>
    <w:rsid w:val="00B267DD"/>
    <w:rsid w:val="00B271A9"/>
    <w:rsid w:val="00B319B3"/>
    <w:rsid w:val="00B31E0D"/>
    <w:rsid w:val="00B36DD9"/>
    <w:rsid w:val="00B40767"/>
    <w:rsid w:val="00B4096C"/>
    <w:rsid w:val="00B42A45"/>
    <w:rsid w:val="00B46DAB"/>
    <w:rsid w:val="00B51652"/>
    <w:rsid w:val="00B536E2"/>
    <w:rsid w:val="00B546C8"/>
    <w:rsid w:val="00B57265"/>
    <w:rsid w:val="00B57C13"/>
    <w:rsid w:val="00B60328"/>
    <w:rsid w:val="00B633AE"/>
    <w:rsid w:val="00B63FFC"/>
    <w:rsid w:val="00B65009"/>
    <w:rsid w:val="00B665D2"/>
    <w:rsid w:val="00B669D6"/>
    <w:rsid w:val="00B6737C"/>
    <w:rsid w:val="00B67EE7"/>
    <w:rsid w:val="00B70B36"/>
    <w:rsid w:val="00B715E1"/>
    <w:rsid w:val="00B71DB3"/>
    <w:rsid w:val="00B7214D"/>
    <w:rsid w:val="00B73E95"/>
    <w:rsid w:val="00B74372"/>
    <w:rsid w:val="00B75974"/>
    <w:rsid w:val="00B75EB3"/>
    <w:rsid w:val="00B76D04"/>
    <w:rsid w:val="00B77914"/>
    <w:rsid w:val="00B77F06"/>
    <w:rsid w:val="00B80283"/>
    <w:rsid w:val="00B8095F"/>
    <w:rsid w:val="00B80B0C"/>
    <w:rsid w:val="00B80B11"/>
    <w:rsid w:val="00B8446C"/>
    <w:rsid w:val="00B87725"/>
    <w:rsid w:val="00B87924"/>
    <w:rsid w:val="00B90552"/>
    <w:rsid w:val="00B92D0D"/>
    <w:rsid w:val="00B97504"/>
    <w:rsid w:val="00BA259A"/>
    <w:rsid w:val="00BA259C"/>
    <w:rsid w:val="00BA29D3"/>
    <w:rsid w:val="00BA307F"/>
    <w:rsid w:val="00BA3210"/>
    <w:rsid w:val="00BA45F7"/>
    <w:rsid w:val="00BA5280"/>
    <w:rsid w:val="00BA54B1"/>
    <w:rsid w:val="00BA6086"/>
    <w:rsid w:val="00BA757A"/>
    <w:rsid w:val="00BB0946"/>
    <w:rsid w:val="00BB0C1C"/>
    <w:rsid w:val="00BB0FDE"/>
    <w:rsid w:val="00BB122B"/>
    <w:rsid w:val="00BB14F1"/>
    <w:rsid w:val="00BB1791"/>
    <w:rsid w:val="00BB286F"/>
    <w:rsid w:val="00BB2BAB"/>
    <w:rsid w:val="00BB3566"/>
    <w:rsid w:val="00BB4F58"/>
    <w:rsid w:val="00BB572E"/>
    <w:rsid w:val="00BB74FD"/>
    <w:rsid w:val="00BC15AD"/>
    <w:rsid w:val="00BC1696"/>
    <w:rsid w:val="00BC2B79"/>
    <w:rsid w:val="00BC38C3"/>
    <w:rsid w:val="00BC3BFA"/>
    <w:rsid w:val="00BC4D87"/>
    <w:rsid w:val="00BC5982"/>
    <w:rsid w:val="00BC64C6"/>
    <w:rsid w:val="00BC6966"/>
    <w:rsid w:val="00BD0FDA"/>
    <w:rsid w:val="00BD3540"/>
    <w:rsid w:val="00BD3A7A"/>
    <w:rsid w:val="00BD44B8"/>
    <w:rsid w:val="00BD4649"/>
    <w:rsid w:val="00BD4E6B"/>
    <w:rsid w:val="00BD6404"/>
    <w:rsid w:val="00BE079B"/>
    <w:rsid w:val="00BE178E"/>
    <w:rsid w:val="00BE181D"/>
    <w:rsid w:val="00BE2412"/>
    <w:rsid w:val="00BE33AE"/>
    <w:rsid w:val="00BE35E4"/>
    <w:rsid w:val="00BE5F93"/>
    <w:rsid w:val="00BF046F"/>
    <w:rsid w:val="00BF4238"/>
    <w:rsid w:val="00BF5743"/>
    <w:rsid w:val="00BF5A64"/>
    <w:rsid w:val="00BF6E31"/>
    <w:rsid w:val="00BF6FE4"/>
    <w:rsid w:val="00BF774E"/>
    <w:rsid w:val="00C019F0"/>
    <w:rsid w:val="00C01D50"/>
    <w:rsid w:val="00C0537C"/>
    <w:rsid w:val="00C056DC"/>
    <w:rsid w:val="00C06F88"/>
    <w:rsid w:val="00C109DE"/>
    <w:rsid w:val="00C10EC5"/>
    <w:rsid w:val="00C11BED"/>
    <w:rsid w:val="00C11C15"/>
    <w:rsid w:val="00C11C37"/>
    <w:rsid w:val="00C12637"/>
    <w:rsid w:val="00C1329B"/>
    <w:rsid w:val="00C17202"/>
    <w:rsid w:val="00C17F5B"/>
    <w:rsid w:val="00C20979"/>
    <w:rsid w:val="00C22C4E"/>
    <w:rsid w:val="00C26DBD"/>
    <w:rsid w:val="00C303E1"/>
    <w:rsid w:val="00C30A46"/>
    <w:rsid w:val="00C31283"/>
    <w:rsid w:val="00C32D94"/>
    <w:rsid w:val="00C33C48"/>
    <w:rsid w:val="00C340E5"/>
    <w:rsid w:val="00C35AA7"/>
    <w:rsid w:val="00C36968"/>
    <w:rsid w:val="00C36C9E"/>
    <w:rsid w:val="00C43BA1"/>
    <w:rsid w:val="00C43DAB"/>
    <w:rsid w:val="00C444F3"/>
    <w:rsid w:val="00C44AB1"/>
    <w:rsid w:val="00C44B8E"/>
    <w:rsid w:val="00C44F3C"/>
    <w:rsid w:val="00C45B48"/>
    <w:rsid w:val="00C45C42"/>
    <w:rsid w:val="00C47F08"/>
    <w:rsid w:val="00C50EBE"/>
    <w:rsid w:val="00C50F0C"/>
    <w:rsid w:val="00C52B41"/>
    <w:rsid w:val="00C536FB"/>
    <w:rsid w:val="00C543D7"/>
    <w:rsid w:val="00C5739F"/>
    <w:rsid w:val="00C57CF0"/>
    <w:rsid w:val="00C60ACF"/>
    <w:rsid w:val="00C61B8D"/>
    <w:rsid w:val="00C642EB"/>
    <w:rsid w:val="00C64694"/>
    <w:rsid w:val="00C6476D"/>
    <w:rsid w:val="00C65891"/>
    <w:rsid w:val="00C669E7"/>
    <w:rsid w:val="00C67637"/>
    <w:rsid w:val="00C706BF"/>
    <w:rsid w:val="00C724D3"/>
    <w:rsid w:val="00C73664"/>
    <w:rsid w:val="00C736B0"/>
    <w:rsid w:val="00C7381D"/>
    <w:rsid w:val="00C77DD9"/>
    <w:rsid w:val="00C77F3F"/>
    <w:rsid w:val="00C80F13"/>
    <w:rsid w:val="00C83F94"/>
    <w:rsid w:val="00C85354"/>
    <w:rsid w:val="00C86ABA"/>
    <w:rsid w:val="00C871FF"/>
    <w:rsid w:val="00C92AE6"/>
    <w:rsid w:val="00C93F72"/>
    <w:rsid w:val="00C943F3"/>
    <w:rsid w:val="00C95BC3"/>
    <w:rsid w:val="00C97BDF"/>
    <w:rsid w:val="00CA08C6"/>
    <w:rsid w:val="00CA2729"/>
    <w:rsid w:val="00CA288C"/>
    <w:rsid w:val="00CA3057"/>
    <w:rsid w:val="00CA3886"/>
    <w:rsid w:val="00CA45F8"/>
    <w:rsid w:val="00CA5A48"/>
    <w:rsid w:val="00CA5A72"/>
    <w:rsid w:val="00CA6256"/>
    <w:rsid w:val="00CA7E41"/>
    <w:rsid w:val="00CB33C7"/>
    <w:rsid w:val="00CB349F"/>
    <w:rsid w:val="00CB3FA8"/>
    <w:rsid w:val="00CB4B5B"/>
    <w:rsid w:val="00CB4C1F"/>
    <w:rsid w:val="00CC0AE4"/>
    <w:rsid w:val="00CC25B4"/>
    <w:rsid w:val="00CC2E7B"/>
    <w:rsid w:val="00CC4AFB"/>
    <w:rsid w:val="00CC4FC0"/>
    <w:rsid w:val="00CC69C8"/>
    <w:rsid w:val="00CC77A2"/>
    <w:rsid w:val="00CC7AEA"/>
    <w:rsid w:val="00CD0115"/>
    <w:rsid w:val="00CD48F5"/>
    <w:rsid w:val="00CD5914"/>
    <w:rsid w:val="00CD6A1B"/>
    <w:rsid w:val="00CE022E"/>
    <w:rsid w:val="00CE0A7F"/>
    <w:rsid w:val="00CE0BB0"/>
    <w:rsid w:val="00CE1718"/>
    <w:rsid w:val="00CE4029"/>
    <w:rsid w:val="00CE64A0"/>
    <w:rsid w:val="00CF1FE6"/>
    <w:rsid w:val="00CF278C"/>
    <w:rsid w:val="00CF4156"/>
    <w:rsid w:val="00D01241"/>
    <w:rsid w:val="00D01FE3"/>
    <w:rsid w:val="00D03D00"/>
    <w:rsid w:val="00D05168"/>
    <w:rsid w:val="00D05644"/>
    <w:rsid w:val="00D05C30"/>
    <w:rsid w:val="00D060AA"/>
    <w:rsid w:val="00D07884"/>
    <w:rsid w:val="00D079E7"/>
    <w:rsid w:val="00D11359"/>
    <w:rsid w:val="00D13757"/>
    <w:rsid w:val="00D14B0D"/>
    <w:rsid w:val="00D15E37"/>
    <w:rsid w:val="00D15F50"/>
    <w:rsid w:val="00D16340"/>
    <w:rsid w:val="00D17607"/>
    <w:rsid w:val="00D17AEF"/>
    <w:rsid w:val="00D20406"/>
    <w:rsid w:val="00D2499E"/>
    <w:rsid w:val="00D24D31"/>
    <w:rsid w:val="00D256F2"/>
    <w:rsid w:val="00D25D1C"/>
    <w:rsid w:val="00D27537"/>
    <w:rsid w:val="00D30384"/>
    <w:rsid w:val="00D30A5E"/>
    <w:rsid w:val="00D3188C"/>
    <w:rsid w:val="00D34FA0"/>
    <w:rsid w:val="00D35F9B"/>
    <w:rsid w:val="00D35FD4"/>
    <w:rsid w:val="00D3667C"/>
    <w:rsid w:val="00D36B69"/>
    <w:rsid w:val="00D37876"/>
    <w:rsid w:val="00D408DD"/>
    <w:rsid w:val="00D426A6"/>
    <w:rsid w:val="00D4570E"/>
    <w:rsid w:val="00D45D72"/>
    <w:rsid w:val="00D50C97"/>
    <w:rsid w:val="00D51E4A"/>
    <w:rsid w:val="00D520E4"/>
    <w:rsid w:val="00D5351A"/>
    <w:rsid w:val="00D539E0"/>
    <w:rsid w:val="00D53D4E"/>
    <w:rsid w:val="00D575DD"/>
    <w:rsid w:val="00D57816"/>
    <w:rsid w:val="00D57DFA"/>
    <w:rsid w:val="00D60689"/>
    <w:rsid w:val="00D65EC2"/>
    <w:rsid w:val="00D7002F"/>
    <w:rsid w:val="00D706AA"/>
    <w:rsid w:val="00D709CE"/>
    <w:rsid w:val="00D71F73"/>
    <w:rsid w:val="00D7281F"/>
    <w:rsid w:val="00D72848"/>
    <w:rsid w:val="00D73B9B"/>
    <w:rsid w:val="00D74CE2"/>
    <w:rsid w:val="00D80786"/>
    <w:rsid w:val="00D81CAB"/>
    <w:rsid w:val="00D82A65"/>
    <w:rsid w:val="00D84B7B"/>
    <w:rsid w:val="00D8576F"/>
    <w:rsid w:val="00D8677F"/>
    <w:rsid w:val="00D86CB4"/>
    <w:rsid w:val="00D87D86"/>
    <w:rsid w:val="00D903B8"/>
    <w:rsid w:val="00D90CEE"/>
    <w:rsid w:val="00D91ED1"/>
    <w:rsid w:val="00D94582"/>
    <w:rsid w:val="00D9549A"/>
    <w:rsid w:val="00D9600A"/>
    <w:rsid w:val="00D96222"/>
    <w:rsid w:val="00D9638E"/>
    <w:rsid w:val="00D9785E"/>
    <w:rsid w:val="00D97F0C"/>
    <w:rsid w:val="00DA0056"/>
    <w:rsid w:val="00DA21AB"/>
    <w:rsid w:val="00DA3A86"/>
    <w:rsid w:val="00DA3AF1"/>
    <w:rsid w:val="00DA400E"/>
    <w:rsid w:val="00DA48FD"/>
    <w:rsid w:val="00DA4CC9"/>
    <w:rsid w:val="00DA511B"/>
    <w:rsid w:val="00DB0EAA"/>
    <w:rsid w:val="00DB49AE"/>
    <w:rsid w:val="00DB61A9"/>
    <w:rsid w:val="00DB7665"/>
    <w:rsid w:val="00DC4CC6"/>
    <w:rsid w:val="00DC4D4A"/>
    <w:rsid w:val="00DC5A60"/>
    <w:rsid w:val="00DC69F0"/>
    <w:rsid w:val="00DC77DC"/>
    <w:rsid w:val="00DC781F"/>
    <w:rsid w:val="00DD0C2C"/>
    <w:rsid w:val="00DD234B"/>
    <w:rsid w:val="00DD28BC"/>
    <w:rsid w:val="00DD39E0"/>
    <w:rsid w:val="00DD6D1B"/>
    <w:rsid w:val="00DE1A44"/>
    <w:rsid w:val="00DE31F0"/>
    <w:rsid w:val="00DE3D1C"/>
    <w:rsid w:val="00DE55A4"/>
    <w:rsid w:val="00DE6290"/>
    <w:rsid w:val="00DE6A4E"/>
    <w:rsid w:val="00DF0174"/>
    <w:rsid w:val="00DF13CF"/>
    <w:rsid w:val="00DF2E94"/>
    <w:rsid w:val="00DF4FAA"/>
    <w:rsid w:val="00DF50AF"/>
    <w:rsid w:val="00DF5483"/>
    <w:rsid w:val="00DF72F8"/>
    <w:rsid w:val="00DF734A"/>
    <w:rsid w:val="00E007F0"/>
    <w:rsid w:val="00E0172F"/>
    <w:rsid w:val="00E01CC3"/>
    <w:rsid w:val="00E0227D"/>
    <w:rsid w:val="00E04056"/>
    <w:rsid w:val="00E04B84"/>
    <w:rsid w:val="00E05051"/>
    <w:rsid w:val="00E0603D"/>
    <w:rsid w:val="00E06CFB"/>
    <w:rsid w:val="00E06FDA"/>
    <w:rsid w:val="00E1068A"/>
    <w:rsid w:val="00E12E8C"/>
    <w:rsid w:val="00E13CCE"/>
    <w:rsid w:val="00E160A5"/>
    <w:rsid w:val="00E16574"/>
    <w:rsid w:val="00E1713D"/>
    <w:rsid w:val="00E2085B"/>
    <w:rsid w:val="00E20A43"/>
    <w:rsid w:val="00E221F6"/>
    <w:rsid w:val="00E2316C"/>
    <w:rsid w:val="00E235F2"/>
    <w:rsid w:val="00E2368D"/>
    <w:rsid w:val="00E23898"/>
    <w:rsid w:val="00E2410B"/>
    <w:rsid w:val="00E26085"/>
    <w:rsid w:val="00E27C9D"/>
    <w:rsid w:val="00E27F54"/>
    <w:rsid w:val="00E33CD2"/>
    <w:rsid w:val="00E35C77"/>
    <w:rsid w:val="00E374D1"/>
    <w:rsid w:val="00E40E90"/>
    <w:rsid w:val="00E42153"/>
    <w:rsid w:val="00E4303D"/>
    <w:rsid w:val="00E4598B"/>
    <w:rsid w:val="00E465FA"/>
    <w:rsid w:val="00E50AE3"/>
    <w:rsid w:val="00E50E23"/>
    <w:rsid w:val="00E531EB"/>
    <w:rsid w:val="00E53A18"/>
    <w:rsid w:val="00E54874"/>
    <w:rsid w:val="00E54B6F"/>
    <w:rsid w:val="00E55ACA"/>
    <w:rsid w:val="00E57438"/>
    <w:rsid w:val="00E57B74"/>
    <w:rsid w:val="00E629E1"/>
    <w:rsid w:val="00E62B51"/>
    <w:rsid w:val="00E660DE"/>
    <w:rsid w:val="00E661FF"/>
    <w:rsid w:val="00E70C6E"/>
    <w:rsid w:val="00E71A93"/>
    <w:rsid w:val="00E726EB"/>
    <w:rsid w:val="00E751B5"/>
    <w:rsid w:val="00E77291"/>
    <w:rsid w:val="00E80B52"/>
    <w:rsid w:val="00E80C3B"/>
    <w:rsid w:val="00E824C3"/>
    <w:rsid w:val="00E83CE9"/>
    <w:rsid w:val="00E840B3"/>
    <w:rsid w:val="00E851F7"/>
    <w:rsid w:val="00E8629F"/>
    <w:rsid w:val="00E8662D"/>
    <w:rsid w:val="00E86E0C"/>
    <w:rsid w:val="00E8769C"/>
    <w:rsid w:val="00E91008"/>
    <w:rsid w:val="00E91564"/>
    <w:rsid w:val="00E9224D"/>
    <w:rsid w:val="00E9374E"/>
    <w:rsid w:val="00E93FA9"/>
    <w:rsid w:val="00E94F54"/>
    <w:rsid w:val="00EA1111"/>
    <w:rsid w:val="00EA1901"/>
    <w:rsid w:val="00EA3961"/>
    <w:rsid w:val="00EA3B4F"/>
    <w:rsid w:val="00EA3C24"/>
    <w:rsid w:val="00EA5DC7"/>
    <w:rsid w:val="00EA6575"/>
    <w:rsid w:val="00EA73DF"/>
    <w:rsid w:val="00EB2B11"/>
    <w:rsid w:val="00EB335C"/>
    <w:rsid w:val="00EB4170"/>
    <w:rsid w:val="00EB4823"/>
    <w:rsid w:val="00EB55B4"/>
    <w:rsid w:val="00EB61AE"/>
    <w:rsid w:val="00EC1A60"/>
    <w:rsid w:val="00EC1DD4"/>
    <w:rsid w:val="00EC322D"/>
    <w:rsid w:val="00EC3D3C"/>
    <w:rsid w:val="00EC4741"/>
    <w:rsid w:val="00ED014D"/>
    <w:rsid w:val="00ED1B43"/>
    <w:rsid w:val="00ED1F71"/>
    <w:rsid w:val="00ED3307"/>
    <w:rsid w:val="00ED4182"/>
    <w:rsid w:val="00EE14C9"/>
    <w:rsid w:val="00EE2852"/>
    <w:rsid w:val="00EF55EB"/>
    <w:rsid w:val="00EF6797"/>
    <w:rsid w:val="00F00B3F"/>
    <w:rsid w:val="00F00DCC"/>
    <w:rsid w:val="00F0156F"/>
    <w:rsid w:val="00F01F3D"/>
    <w:rsid w:val="00F040C5"/>
    <w:rsid w:val="00F05267"/>
    <w:rsid w:val="00F052EE"/>
    <w:rsid w:val="00F058ED"/>
    <w:rsid w:val="00F05AC8"/>
    <w:rsid w:val="00F07167"/>
    <w:rsid w:val="00F072D8"/>
    <w:rsid w:val="00F07CE0"/>
    <w:rsid w:val="00F07D73"/>
    <w:rsid w:val="00F1147D"/>
    <w:rsid w:val="00F11AD5"/>
    <w:rsid w:val="00F11D60"/>
    <w:rsid w:val="00F13000"/>
    <w:rsid w:val="00F13D05"/>
    <w:rsid w:val="00F1420D"/>
    <w:rsid w:val="00F15A16"/>
    <w:rsid w:val="00F161A2"/>
    <w:rsid w:val="00F1671E"/>
    <w:rsid w:val="00F1679D"/>
    <w:rsid w:val="00F1682C"/>
    <w:rsid w:val="00F200B9"/>
    <w:rsid w:val="00F20B91"/>
    <w:rsid w:val="00F221E2"/>
    <w:rsid w:val="00F22AF4"/>
    <w:rsid w:val="00F23041"/>
    <w:rsid w:val="00F23185"/>
    <w:rsid w:val="00F24B8B"/>
    <w:rsid w:val="00F25C65"/>
    <w:rsid w:val="00F267C4"/>
    <w:rsid w:val="00F26C49"/>
    <w:rsid w:val="00F27257"/>
    <w:rsid w:val="00F27F82"/>
    <w:rsid w:val="00F30D2E"/>
    <w:rsid w:val="00F33F57"/>
    <w:rsid w:val="00F35516"/>
    <w:rsid w:val="00F35790"/>
    <w:rsid w:val="00F35EAA"/>
    <w:rsid w:val="00F369F8"/>
    <w:rsid w:val="00F37071"/>
    <w:rsid w:val="00F4094E"/>
    <w:rsid w:val="00F41306"/>
    <w:rsid w:val="00F4136D"/>
    <w:rsid w:val="00F4212E"/>
    <w:rsid w:val="00F4238D"/>
    <w:rsid w:val="00F42C20"/>
    <w:rsid w:val="00F42CD1"/>
    <w:rsid w:val="00F43577"/>
    <w:rsid w:val="00F43E34"/>
    <w:rsid w:val="00F44522"/>
    <w:rsid w:val="00F5060E"/>
    <w:rsid w:val="00F521C4"/>
    <w:rsid w:val="00F53CED"/>
    <w:rsid w:val="00F54BB6"/>
    <w:rsid w:val="00F552D1"/>
    <w:rsid w:val="00F55E2D"/>
    <w:rsid w:val="00F56685"/>
    <w:rsid w:val="00F57876"/>
    <w:rsid w:val="00F6083D"/>
    <w:rsid w:val="00F61598"/>
    <w:rsid w:val="00F618EF"/>
    <w:rsid w:val="00F61F33"/>
    <w:rsid w:val="00F65582"/>
    <w:rsid w:val="00F6565E"/>
    <w:rsid w:val="00F65DF1"/>
    <w:rsid w:val="00F66E75"/>
    <w:rsid w:val="00F742BB"/>
    <w:rsid w:val="00F77530"/>
    <w:rsid w:val="00F77EB0"/>
    <w:rsid w:val="00F836EE"/>
    <w:rsid w:val="00F8714A"/>
    <w:rsid w:val="00F87CDD"/>
    <w:rsid w:val="00F9169C"/>
    <w:rsid w:val="00F91D53"/>
    <w:rsid w:val="00F92818"/>
    <w:rsid w:val="00F933F0"/>
    <w:rsid w:val="00F93B24"/>
    <w:rsid w:val="00F94672"/>
    <w:rsid w:val="00F94715"/>
    <w:rsid w:val="00F94BAD"/>
    <w:rsid w:val="00F95660"/>
    <w:rsid w:val="00F964DB"/>
    <w:rsid w:val="00F96B02"/>
    <w:rsid w:val="00F97145"/>
    <w:rsid w:val="00FA0C3A"/>
    <w:rsid w:val="00FA2EAA"/>
    <w:rsid w:val="00FA2FA0"/>
    <w:rsid w:val="00FA3804"/>
    <w:rsid w:val="00FA4718"/>
    <w:rsid w:val="00FA4A05"/>
    <w:rsid w:val="00FA6DC1"/>
    <w:rsid w:val="00FA7F3D"/>
    <w:rsid w:val="00FB2E21"/>
    <w:rsid w:val="00FB488C"/>
    <w:rsid w:val="00FB4CCF"/>
    <w:rsid w:val="00FB792F"/>
    <w:rsid w:val="00FC051F"/>
    <w:rsid w:val="00FC06FF"/>
    <w:rsid w:val="00FC545A"/>
    <w:rsid w:val="00FC69EA"/>
    <w:rsid w:val="00FC71BD"/>
    <w:rsid w:val="00FD0694"/>
    <w:rsid w:val="00FD0751"/>
    <w:rsid w:val="00FD25BE"/>
    <w:rsid w:val="00FD2E70"/>
    <w:rsid w:val="00FD67AB"/>
    <w:rsid w:val="00FD6CEF"/>
    <w:rsid w:val="00FD7AA7"/>
    <w:rsid w:val="00FE248C"/>
    <w:rsid w:val="00FE2B8D"/>
    <w:rsid w:val="00FE65AF"/>
    <w:rsid w:val="00FE6658"/>
    <w:rsid w:val="00FE710B"/>
    <w:rsid w:val="00FF09B0"/>
    <w:rsid w:val="00FF111E"/>
    <w:rsid w:val="00FF1FCB"/>
    <w:rsid w:val="00FF52D4"/>
    <w:rsid w:val="00FF595E"/>
    <w:rsid w:val="00FF6AA4"/>
    <w:rsid w:val="01AD1052"/>
    <w:rsid w:val="01F84CCA"/>
    <w:rsid w:val="02FE0069"/>
    <w:rsid w:val="03123425"/>
    <w:rsid w:val="039A4872"/>
    <w:rsid w:val="03CE1ACB"/>
    <w:rsid w:val="03E64BF2"/>
    <w:rsid w:val="0405569A"/>
    <w:rsid w:val="043F38B1"/>
    <w:rsid w:val="045468D6"/>
    <w:rsid w:val="049C4F1D"/>
    <w:rsid w:val="04C95821"/>
    <w:rsid w:val="04FB65BC"/>
    <w:rsid w:val="053951CC"/>
    <w:rsid w:val="06712994"/>
    <w:rsid w:val="06D27D65"/>
    <w:rsid w:val="0725640E"/>
    <w:rsid w:val="073C4C22"/>
    <w:rsid w:val="07B64236"/>
    <w:rsid w:val="07E72487"/>
    <w:rsid w:val="07FC3326"/>
    <w:rsid w:val="084D5C0A"/>
    <w:rsid w:val="08FB266A"/>
    <w:rsid w:val="0908255E"/>
    <w:rsid w:val="09555E2F"/>
    <w:rsid w:val="09886330"/>
    <w:rsid w:val="0A323785"/>
    <w:rsid w:val="0AC70577"/>
    <w:rsid w:val="0B657E3F"/>
    <w:rsid w:val="0C522046"/>
    <w:rsid w:val="0CF66F4D"/>
    <w:rsid w:val="0CF87DD6"/>
    <w:rsid w:val="0CFC317C"/>
    <w:rsid w:val="0D283BA5"/>
    <w:rsid w:val="0D4207A8"/>
    <w:rsid w:val="0D7A3E92"/>
    <w:rsid w:val="0D9249AD"/>
    <w:rsid w:val="0DAF7051"/>
    <w:rsid w:val="0E0B678A"/>
    <w:rsid w:val="0E562C0E"/>
    <w:rsid w:val="0EAC57CB"/>
    <w:rsid w:val="0EBC11BB"/>
    <w:rsid w:val="0EC554A0"/>
    <w:rsid w:val="0EE44768"/>
    <w:rsid w:val="0EF5261A"/>
    <w:rsid w:val="0F107E5D"/>
    <w:rsid w:val="0F4D1D8B"/>
    <w:rsid w:val="0F5765F7"/>
    <w:rsid w:val="0F794E5B"/>
    <w:rsid w:val="0FA2765C"/>
    <w:rsid w:val="10EC6ED1"/>
    <w:rsid w:val="11044872"/>
    <w:rsid w:val="112F7B34"/>
    <w:rsid w:val="117D384D"/>
    <w:rsid w:val="11BE6768"/>
    <w:rsid w:val="11C17300"/>
    <w:rsid w:val="11D3258D"/>
    <w:rsid w:val="11EC6123"/>
    <w:rsid w:val="121F2467"/>
    <w:rsid w:val="130A1E31"/>
    <w:rsid w:val="13337596"/>
    <w:rsid w:val="13A46F38"/>
    <w:rsid w:val="13ED4789"/>
    <w:rsid w:val="154D4856"/>
    <w:rsid w:val="15D55160"/>
    <w:rsid w:val="17144B88"/>
    <w:rsid w:val="172B6CDD"/>
    <w:rsid w:val="17C80E13"/>
    <w:rsid w:val="1855203D"/>
    <w:rsid w:val="188C51C2"/>
    <w:rsid w:val="18B61112"/>
    <w:rsid w:val="18C56B80"/>
    <w:rsid w:val="18CE4737"/>
    <w:rsid w:val="19E904D0"/>
    <w:rsid w:val="1B000E24"/>
    <w:rsid w:val="1B4A3DD6"/>
    <w:rsid w:val="1B6F2703"/>
    <w:rsid w:val="1B771A44"/>
    <w:rsid w:val="1BCE19DC"/>
    <w:rsid w:val="1C7104B7"/>
    <w:rsid w:val="1C723D3B"/>
    <w:rsid w:val="1CD41443"/>
    <w:rsid w:val="1CE86FEA"/>
    <w:rsid w:val="1EA82C40"/>
    <w:rsid w:val="1EAF0D67"/>
    <w:rsid w:val="1ECE5260"/>
    <w:rsid w:val="1FDC62F1"/>
    <w:rsid w:val="202A27D1"/>
    <w:rsid w:val="20677051"/>
    <w:rsid w:val="207D4002"/>
    <w:rsid w:val="214D44F3"/>
    <w:rsid w:val="216C735A"/>
    <w:rsid w:val="216E533F"/>
    <w:rsid w:val="21CD1190"/>
    <w:rsid w:val="21D62C8B"/>
    <w:rsid w:val="21F92D9A"/>
    <w:rsid w:val="22297D19"/>
    <w:rsid w:val="22B2731A"/>
    <w:rsid w:val="230E078D"/>
    <w:rsid w:val="24086F72"/>
    <w:rsid w:val="243B4281"/>
    <w:rsid w:val="25B54886"/>
    <w:rsid w:val="25C92E20"/>
    <w:rsid w:val="265A1224"/>
    <w:rsid w:val="265D5A47"/>
    <w:rsid w:val="265F7F4B"/>
    <w:rsid w:val="26902A41"/>
    <w:rsid w:val="269E3A6B"/>
    <w:rsid w:val="26D41CD5"/>
    <w:rsid w:val="273807F7"/>
    <w:rsid w:val="288B4C64"/>
    <w:rsid w:val="28F07737"/>
    <w:rsid w:val="28FE3B8A"/>
    <w:rsid w:val="291A174F"/>
    <w:rsid w:val="29A71464"/>
    <w:rsid w:val="29A924E3"/>
    <w:rsid w:val="29A94291"/>
    <w:rsid w:val="29EA6A0F"/>
    <w:rsid w:val="2B2E51EB"/>
    <w:rsid w:val="2B365355"/>
    <w:rsid w:val="2B715F41"/>
    <w:rsid w:val="2B735A8E"/>
    <w:rsid w:val="2B9D609C"/>
    <w:rsid w:val="2BA14AA2"/>
    <w:rsid w:val="2BE6077D"/>
    <w:rsid w:val="2C7E4F8A"/>
    <w:rsid w:val="2CC203FD"/>
    <w:rsid w:val="2D37238E"/>
    <w:rsid w:val="2D73499D"/>
    <w:rsid w:val="2DA84CE8"/>
    <w:rsid w:val="2E704C40"/>
    <w:rsid w:val="2EAB3F94"/>
    <w:rsid w:val="2EAE29F4"/>
    <w:rsid w:val="2ED6609E"/>
    <w:rsid w:val="2EF9148F"/>
    <w:rsid w:val="2F0A5D38"/>
    <w:rsid w:val="2F1A24B6"/>
    <w:rsid w:val="2F603644"/>
    <w:rsid w:val="2F7B779B"/>
    <w:rsid w:val="2FE564DF"/>
    <w:rsid w:val="30511C2A"/>
    <w:rsid w:val="30622E72"/>
    <w:rsid w:val="30CE7FA2"/>
    <w:rsid w:val="30DD73DA"/>
    <w:rsid w:val="312651B7"/>
    <w:rsid w:val="31C142E4"/>
    <w:rsid w:val="321B6364"/>
    <w:rsid w:val="3266397B"/>
    <w:rsid w:val="3266651A"/>
    <w:rsid w:val="32C83806"/>
    <w:rsid w:val="32F618B8"/>
    <w:rsid w:val="33355F1C"/>
    <w:rsid w:val="336D1692"/>
    <w:rsid w:val="34A22AE6"/>
    <w:rsid w:val="358B6541"/>
    <w:rsid w:val="3697433E"/>
    <w:rsid w:val="36E6529F"/>
    <w:rsid w:val="36E81DFE"/>
    <w:rsid w:val="36F30A8E"/>
    <w:rsid w:val="381D531B"/>
    <w:rsid w:val="393E666E"/>
    <w:rsid w:val="3A781F97"/>
    <w:rsid w:val="3B166EA8"/>
    <w:rsid w:val="3B840033"/>
    <w:rsid w:val="3B87391D"/>
    <w:rsid w:val="3B902DEF"/>
    <w:rsid w:val="3B936907"/>
    <w:rsid w:val="3C632AF7"/>
    <w:rsid w:val="3C6C46B1"/>
    <w:rsid w:val="3C9F0383"/>
    <w:rsid w:val="3D3358D5"/>
    <w:rsid w:val="3D6458E1"/>
    <w:rsid w:val="3D993965"/>
    <w:rsid w:val="3E3E7431"/>
    <w:rsid w:val="3E612D76"/>
    <w:rsid w:val="3ED05734"/>
    <w:rsid w:val="3F0765FC"/>
    <w:rsid w:val="3F5E2485"/>
    <w:rsid w:val="3FCE03DB"/>
    <w:rsid w:val="40D91B82"/>
    <w:rsid w:val="40E47D03"/>
    <w:rsid w:val="40F300AD"/>
    <w:rsid w:val="40FF07E3"/>
    <w:rsid w:val="4154383A"/>
    <w:rsid w:val="416205D1"/>
    <w:rsid w:val="421C3283"/>
    <w:rsid w:val="423275E6"/>
    <w:rsid w:val="42420F25"/>
    <w:rsid w:val="42883952"/>
    <w:rsid w:val="42C5274B"/>
    <w:rsid w:val="435B6417"/>
    <w:rsid w:val="43656D57"/>
    <w:rsid w:val="4426495C"/>
    <w:rsid w:val="444E1860"/>
    <w:rsid w:val="44AE5151"/>
    <w:rsid w:val="44D85CBE"/>
    <w:rsid w:val="45316114"/>
    <w:rsid w:val="454F78C2"/>
    <w:rsid w:val="4568626D"/>
    <w:rsid w:val="459B1072"/>
    <w:rsid w:val="45EC4080"/>
    <w:rsid w:val="464C3AE7"/>
    <w:rsid w:val="46860C43"/>
    <w:rsid w:val="46A616B2"/>
    <w:rsid w:val="472829CB"/>
    <w:rsid w:val="48457920"/>
    <w:rsid w:val="48462A56"/>
    <w:rsid w:val="488A4596"/>
    <w:rsid w:val="48C9414A"/>
    <w:rsid w:val="48DF402C"/>
    <w:rsid w:val="48E1779E"/>
    <w:rsid w:val="493A4597"/>
    <w:rsid w:val="497115E3"/>
    <w:rsid w:val="49771939"/>
    <w:rsid w:val="498118A6"/>
    <w:rsid w:val="4A2A683B"/>
    <w:rsid w:val="4A321752"/>
    <w:rsid w:val="4ADD0B44"/>
    <w:rsid w:val="4ADD32B8"/>
    <w:rsid w:val="4B3D53FF"/>
    <w:rsid w:val="4B7B48D7"/>
    <w:rsid w:val="4B941B47"/>
    <w:rsid w:val="4BB26D40"/>
    <w:rsid w:val="4C7044F7"/>
    <w:rsid w:val="4C894B76"/>
    <w:rsid w:val="4C9652B2"/>
    <w:rsid w:val="4CA22F8F"/>
    <w:rsid w:val="4CD928A1"/>
    <w:rsid w:val="4D3E25C6"/>
    <w:rsid w:val="4D416DCE"/>
    <w:rsid w:val="4D4B0133"/>
    <w:rsid w:val="4DA14831"/>
    <w:rsid w:val="4DB431DE"/>
    <w:rsid w:val="4DB72F3C"/>
    <w:rsid w:val="4DFA3FFE"/>
    <w:rsid w:val="4EF41DD2"/>
    <w:rsid w:val="4F27268B"/>
    <w:rsid w:val="4F4D346E"/>
    <w:rsid w:val="4FE52EC5"/>
    <w:rsid w:val="501B7457"/>
    <w:rsid w:val="50656676"/>
    <w:rsid w:val="507E4A7A"/>
    <w:rsid w:val="50A63456"/>
    <w:rsid w:val="50BE20AD"/>
    <w:rsid w:val="514035D7"/>
    <w:rsid w:val="519179F6"/>
    <w:rsid w:val="527E6CE5"/>
    <w:rsid w:val="529E721A"/>
    <w:rsid w:val="52B3173E"/>
    <w:rsid w:val="52C232CE"/>
    <w:rsid w:val="52C45EA6"/>
    <w:rsid w:val="5377340D"/>
    <w:rsid w:val="53BA0C6B"/>
    <w:rsid w:val="5402325F"/>
    <w:rsid w:val="545220E4"/>
    <w:rsid w:val="54787FAB"/>
    <w:rsid w:val="549061F2"/>
    <w:rsid w:val="54AE6A55"/>
    <w:rsid w:val="54D91755"/>
    <w:rsid w:val="55504202"/>
    <w:rsid w:val="55867CE8"/>
    <w:rsid w:val="55A41882"/>
    <w:rsid w:val="55B72CB0"/>
    <w:rsid w:val="55DD2A11"/>
    <w:rsid w:val="561B4F52"/>
    <w:rsid w:val="56381468"/>
    <w:rsid w:val="56A26130"/>
    <w:rsid w:val="56EF29AC"/>
    <w:rsid w:val="57172725"/>
    <w:rsid w:val="57266709"/>
    <w:rsid w:val="57EE28CF"/>
    <w:rsid w:val="58FB56CF"/>
    <w:rsid w:val="59875576"/>
    <w:rsid w:val="59D143DE"/>
    <w:rsid w:val="5A0B2799"/>
    <w:rsid w:val="5A1F1A48"/>
    <w:rsid w:val="5A3A4A42"/>
    <w:rsid w:val="5B603ED0"/>
    <w:rsid w:val="5B686008"/>
    <w:rsid w:val="5BDD41C3"/>
    <w:rsid w:val="5BF16B11"/>
    <w:rsid w:val="5C102455"/>
    <w:rsid w:val="5CE609DA"/>
    <w:rsid w:val="5D3C1E25"/>
    <w:rsid w:val="5D555CF6"/>
    <w:rsid w:val="5D5578AC"/>
    <w:rsid w:val="5E3B1EEC"/>
    <w:rsid w:val="5E837064"/>
    <w:rsid w:val="5E86735A"/>
    <w:rsid w:val="5EAD072D"/>
    <w:rsid w:val="5EDE0F33"/>
    <w:rsid w:val="5EDF3E55"/>
    <w:rsid w:val="5F89622F"/>
    <w:rsid w:val="5FA42475"/>
    <w:rsid w:val="5FEA016C"/>
    <w:rsid w:val="60385CED"/>
    <w:rsid w:val="607921FE"/>
    <w:rsid w:val="60DC198C"/>
    <w:rsid w:val="61292AE0"/>
    <w:rsid w:val="613C6740"/>
    <w:rsid w:val="61E733D1"/>
    <w:rsid w:val="61F578E6"/>
    <w:rsid w:val="62AC42D9"/>
    <w:rsid w:val="632B5CBF"/>
    <w:rsid w:val="632C1993"/>
    <w:rsid w:val="635441A8"/>
    <w:rsid w:val="63C2289B"/>
    <w:rsid w:val="64D54EF7"/>
    <w:rsid w:val="650C1A58"/>
    <w:rsid w:val="65322A32"/>
    <w:rsid w:val="65F1158D"/>
    <w:rsid w:val="660F699C"/>
    <w:rsid w:val="668F2989"/>
    <w:rsid w:val="66DD401D"/>
    <w:rsid w:val="66EB5FFE"/>
    <w:rsid w:val="67682124"/>
    <w:rsid w:val="67F37E19"/>
    <w:rsid w:val="680F1CC5"/>
    <w:rsid w:val="6853337F"/>
    <w:rsid w:val="686A21E8"/>
    <w:rsid w:val="686F0DE5"/>
    <w:rsid w:val="68F4331F"/>
    <w:rsid w:val="68F71FC3"/>
    <w:rsid w:val="694878E6"/>
    <w:rsid w:val="69533BD4"/>
    <w:rsid w:val="69752891"/>
    <w:rsid w:val="69866736"/>
    <w:rsid w:val="6A113BAD"/>
    <w:rsid w:val="6A6A5B06"/>
    <w:rsid w:val="6AC42389"/>
    <w:rsid w:val="6AFB296E"/>
    <w:rsid w:val="6B2A520D"/>
    <w:rsid w:val="6B654723"/>
    <w:rsid w:val="6B7751EC"/>
    <w:rsid w:val="6C053E44"/>
    <w:rsid w:val="6C7D40F6"/>
    <w:rsid w:val="6CB07B60"/>
    <w:rsid w:val="6CD15B16"/>
    <w:rsid w:val="6D131E03"/>
    <w:rsid w:val="6DB956A2"/>
    <w:rsid w:val="6DD540BF"/>
    <w:rsid w:val="6E740745"/>
    <w:rsid w:val="6F666282"/>
    <w:rsid w:val="6F730668"/>
    <w:rsid w:val="6F7615ED"/>
    <w:rsid w:val="6FFA6586"/>
    <w:rsid w:val="704C254A"/>
    <w:rsid w:val="70D97BAF"/>
    <w:rsid w:val="70DE30B1"/>
    <w:rsid w:val="711E3842"/>
    <w:rsid w:val="71200F8F"/>
    <w:rsid w:val="712F2B3D"/>
    <w:rsid w:val="72282E5A"/>
    <w:rsid w:val="72414F83"/>
    <w:rsid w:val="73384217"/>
    <w:rsid w:val="73426189"/>
    <w:rsid w:val="73550C67"/>
    <w:rsid w:val="750D091A"/>
    <w:rsid w:val="75EE396E"/>
    <w:rsid w:val="76490817"/>
    <w:rsid w:val="76C51359"/>
    <w:rsid w:val="76F23FB2"/>
    <w:rsid w:val="770B2852"/>
    <w:rsid w:val="770C03DF"/>
    <w:rsid w:val="77DC19B1"/>
    <w:rsid w:val="785746AF"/>
    <w:rsid w:val="78835992"/>
    <w:rsid w:val="78AB248C"/>
    <w:rsid w:val="78B260EE"/>
    <w:rsid w:val="78D9225A"/>
    <w:rsid w:val="79742996"/>
    <w:rsid w:val="7A65396B"/>
    <w:rsid w:val="7A905722"/>
    <w:rsid w:val="7B0902A1"/>
    <w:rsid w:val="7B2270E7"/>
    <w:rsid w:val="7B70400E"/>
    <w:rsid w:val="7CB426A4"/>
    <w:rsid w:val="7D0E534E"/>
    <w:rsid w:val="7D256040"/>
    <w:rsid w:val="7DD2237C"/>
    <w:rsid w:val="7DEB511D"/>
    <w:rsid w:val="7E50411B"/>
    <w:rsid w:val="7E6604C0"/>
    <w:rsid w:val="7E6E3D71"/>
    <w:rsid w:val="7ED70B61"/>
    <w:rsid w:val="7EF67DD4"/>
    <w:rsid w:val="7FB7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" w:hAnsi="Times" w:eastAsia="Batang" w:cs="Times New Roman"/>
      <w:szCs w:val="24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5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9"/>
    <w:pPr>
      <w:outlineLvl w:val="5"/>
    </w:pPr>
  </w:style>
  <w:style w:type="paragraph" w:styleId="9">
    <w:name w:val="heading 7"/>
    <w:basedOn w:val="8"/>
    <w:next w:val="1"/>
    <w:link w:val="138"/>
    <w:qFormat/>
    <w:uiPriority w:val="9"/>
    <w:p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spacing w:after="180"/>
      <w:ind w:left="568" w:hanging="284"/>
    </w:pPr>
    <w:rPr>
      <w:rFonts w:ascii="Times New Roman" w:hAnsi="Times New Roman" w:eastAsia="宋体"/>
      <w:szCs w:val="20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rFonts w:ascii="Times New Roman" w:hAnsi="Times New Roman" w:eastAsia="宋体"/>
      <w:b/>
      <w:szCs w:val="20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  <w:pPr>
      <w:spacing w:after="180"/>
    </w:pPr>
    <w:rPr>
      <w:rFonts w:ascii="Times New Roman" w:hAnsi="Times New Roman" w:eastAsia="宋体"/>
      <w:szCs w:val="20"/>
    </w:rPr>
  </w:style>
  <w:style w:type="paragraph" w:styleId="31">
    <w:name w:val="Body Text"/>
    <w:basedOn w:val="1"/>
    <w:link w:val="123"/>
    <w:qFormat/>
    <w:uiPriority w:val="0"/>
    <w:pPr>
      <w:spacing w:after="180"/>
    </w:pPr>
    <w:rPr>
      <w:rFonts w:ascii="Times New Roman" w:hAnsi="Times New Roman" w:eastAsia="宋体"/>
      <w:szCs w:val="20"/>
    </w:rPr>
  </w:style>
  <w:style w:type="paragraph" w:styleId="32">
    <w:name w:val="Plain Text"/>
    <w:basedOn w:val="1"/>
    <w:link w:val="127"/>
    <w:qFormat/>
    <w:uiPriority w:val="99"/>
    <w:pPr>
      <w:spacing w:after="180"/>
    </w:pPr>
    <w:rPr>
      <w:rFonts w:ascii="Courier New" w:hAnsi="Courier New" w:eastAsia="宋体"/>
      <w:szCs w:val="20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spacing w:after="180"/>
      <w:ind w:left="284"/>
      <w:textAlignment w:val="baseline"/>
    </w:pPr>
    <w:rPr>
      <w:rFonts w:ascii="Arial" w:hAnsi="Arial" w:eastAsia="Yu Mincho"/>
      <w:szCs w:val="20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/>
      <w:szCs w:val="20"/>
    </w:rPr>
  </w:style>
  <w:style w:type="paragraph" w:styleId="37">
    <w:name w:val="Balloon Text"/>
    <w:basedOn w:val="1"/>
    <w:link w:val="111"/>
    <w:qFormat/>
    <w:uiPriority w:val="0"/>
    <w:rPr>
      <w:rFonts w:ascii="Times New Roman" w:hAnsi="Times New Roman" w:eastAsia="宋体"/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ind w:left="454" w:hanging="454"/>
    </w:pPr>
    <w:rPr>
      <w:rFonts w:ascii="Times New Roman" w:hAnsi="Times New Roman" w:eastAsia="宋体"/>
      <w:sz w:val="16"/>
      <w:szCs w:val="20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ascii="Times New Roman" w:hAnsi="Times New Roman" w:eastAsia="Arial Unicode MS"/>
      <w:sz w:val="24"/>
    </w:rPr>
  </w:style>
  <w:style w:type="paragraph" w:styleId="46">
    <w:name w:val="index 1"/>
    <w:basedOn w:val="1"/>
    <w:next w:val="1"/>
    <w:semiHidden/>
    <w:qFormat/>
    <w:uiPriority w:val="0"/>
    <w:pPr>
      <w:keepLines/>
    </w:pPr>
    <w:rPr>
      <w:rFonts w:ascii="Times New Roman" w:hAnsi="Times New Roman" w:eastAsia="宋体"/>
      <w:szCs w:val="20"/>
    </w:r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eastAsia="宋体"/>
      <w:szCs w:val="20"/>
    </w:r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spacing w:after="180"/>
      <w:ind w:left="1135" w:hanging="851"/>
    </w:pPr>
    <w:rPr>
      <w:rFonts w:ascii="Times New Roman" w:hAnsi="Times New Roman" w:eastAsia="宋体"/>
      <w:szCs w:val="20"/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</w:pPr>
    <w:rPr>
      <w:rFonts w:ascii="Arial" w:hAnsi="Arial" w:eastAsia="宋体"/>
      <w:sz w:val="18"/>
      <w:szCs w:val="20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spacing w:after="180"/>
      <w:ind w:left="1702" w:hanging="1418"/>
    </w:pPr>
    <w:rPr>
      <w:rFonts w:ascii="Times New Roman" w:hAnsi="Times New Roman" w:eastAsia="宋体"/>
      <w:szCs w:val="20"/>
    </w:rPr>
  </w:style>
  <w:style w:type="paragraph" w:customStyle="1" w:styleId="71">
    <w:name w:val="FP"/>
    <w:basedOn w:val="1"/>
    <w:qFormat/>
    <w:uiPriority w:val="0"/>
    <w:rPr>
      <w:rFonts w:ascii="Times New Roman" w:hAnsi="Times New Roman" w:eastAsia="宋体"/>
      <w:szCs w:val="20"/>
    </w:r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link w:val="153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link w:val="154"/>
    <w:qFormat/>
    <w:uiPriority w:val="0"/>
  </w:style>
  <w:style w:type="paragraph" w:customStyle="1" w:styleId="86">
    <w:name w:val="B3"/>
    <w:basedOn w:val="12"/>
    <w:link w:val="155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spacing w:after="180"/>
      <w:ind w:left="851"/>
    </w:pPr>
    <w:rPr>
      <w:rFonts w:ascii="Times New Roman" w:hAnsi="Times New Roman" w:eastAsia="宋体"/>
      <w:szCs w:val="20"/>
    </w:rPr>
  </w:style>
  <w:style w:type="paragraph" w:customStyle="1" w:styleId="92">
    <w:name w:val="INDENT2"/>
    <w:basedOn w:val="1"/>
    <w:qFormat/>
    <w:uiPriority w:val="0"/>
    <w:pPr>
      <w:spacing w:after="180"/>
      <w:ind w:left="1135" w:hanging="284"/>
    </w:pPr>
    <w:rPr>
      <w:rFonts w:ascii="Times New Roman" w:hAnsi="Times New Roman" w:eastAsia="宋体"/>
      <w:szCs w:val="20"/>
    </w:rPr>
  </w:style>
  <w:style w:type="paragraph" w:customStyle="1" w:styleId="93">
    <w:name w:val="INDENT3"/>
    <w:basedOn w:val="1"/>
    <w:qFormat/>
    <w:uiPriority w:val="0"/>
    <w:pPr>
      <w:spacing w:after="180"/>
      <w:ind w:left="1701" w:hanging="567"/>
    </w:pPr>
    <w:rPr>
      <w:rFonts w:ascii="Times New Roman" w:hAnsi="Times New Roman" w:eastAsia="宋体"/>
      <w:szCs w:val="20"/>
    </w:r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hAnsi="Times New Roman" w:eastAsia="宋体"/>
      <w:b/>
      <w:sz w:val="24"/>
      <w:szCs w:val="20"/>
    </w:rPr>
  </w:style>
  <w:style w:type="paragraph" w:customStyle="1" w:styleId="95">
    <w:name w:val="Rec_CCITT_#"/>
    <w:basedOn w:val="1"/>
    <w:qFormat/>
    <w:uiPriority w:val="0"/>
    <w:pPr>
      <w:keepNext/>
      <w:keepLines/>
      <w:spacing w:after="180"/>
    </w:pPr>
    <w:rPr>
      <w:rFonts w:ascii="Times New Roman" w:hAnsi="Times New Roman" w:eastAsia="宋体"/>
      <w:b/>
      <w:szCs w:val="20"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hAnsi="Times New Roman" w:eastAsia="宋体"/>
      <w:szCs w:val="20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 w:after="180"/>
      <w:ind w:left="1418"/>
    </w:pPr>
    <w:rPr>
      <w:rFonts w:ascii="Arial" w:hAnsi="Arial" w:eastAsia="宋体"/>
      <w:b/>
      <w:sz w:val="36"/>
      <w:szCs w:val="20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pPr>
      <w:spacing w:after="180"/>
    </w:pPr>
    <w:rPr>
      <w:rFonts w:ascii="Times New Roman" w:hAnsi="Times New Roman" w:eastAsia="宋体"/>
      <w:i/>
      <w:color w:val="0000FF"/>
      <w:szCs w:val="20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 w:eastAsia="宋体"/>
      <w:sz w:val="28"/>
      <w:szCs w:val="20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2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val="sv-SE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Cs w:val="20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eastAsia="Yu Mincho"/>
      <w:b/>
      <w:szCs w:val="20"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Calibri"/>
      <w:sz w:val="24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Calibri"/>
      <w:sz w:val="24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spacing w:after="180"/>
      <w:ind w:firstLine="420" w:firstLineChars="200"/>
      <w:textAlignment w:val="baseline"/>
    </w:pPr>
    <w:rPr>
      <w:rFonts w:ascii="Times New Roman" w:hAnsi="Times New Roman" w:eastAsia="MS Mincho"/>
      <w:szCs w:val="20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  <w:style w:type="character" w:customStyle="1" w:styleId="153">
    <w:name w:val="TF Char"/>
    <w:link w:val="83"/>
    <w:qFormat/>
    <w:uiPriority w:val="0"/>
    <w:rPr>
      <w:rFonts w:ascii="Arial" w:hAnsi="Arial"/>
      <w:b/>
      <w:lang w:val="zh-CN" w:eastAsia="en-US"/>
    </w:rPr>
  </w:style>
  <w:style w:type="character" w:customStyle="1" w:styleId="154">
    <w:name w:val="B2 Char"/>
    <w:link w:val="85"/>
    <w:qFormat/>
    <w:uiPriority w:val="0"/>
    <w:rPr>
      <w:lang w:val="en-GB" w:eastAsia="en-US"/>
    </w:rPr>
  </w:style>
  <w:style w:type="character" w:customStyle="1" w:styleId="155">
    <w:name w:val="B3 Char2"/>
    <w:link w:val="86"/>
    <w:qFormat/>
    <w:uiPriority w:val="0"/>
    <w:rPr>
      <w:lang w:val="en-GB" w:eastAsia="en-US"/>
    </w:rPr>
  </w:style>
  <w:style w:type="character" w:customStyle="1" w:styleId="156">
    <w:name w:val="apple-converted-space"/>
    <w:qFormat/>
    <w:uiPriority w:val="0"/>
  </w:style>
  <w:style w:type="character" w:customStyle="1" w:styleId="157">
    <w:name w:val="TF Zchn"/>
    <w:qFormat/>
    <w:locked/>
    <w:uiPriority w:val="0"/>
    <w:rPr>
      <w:rFonts w:ascii="Arial" w:hAnsi="Arial" w:eastAsia="MS Mincho"/>
      <w:b/>
      <w:lang w:eastAsia="ja-JP"/>
    </w:rPr>
  </w:style>
  <w:style w:type="table" w:customStyle="1" w:styleId="158">
    <w:name w:val="Table Grid7"/>
    <w:basedOn w:val="49"/>
    <w:qFormat/>
    <w:uiPriority w:val="39"/>
    <w:pPr>
      <w:spacing w:after="160" w:line="259" w:lineRule="auto"/>
    </w:pPr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9">
    <w:name w:val="List Paragraph Char1"/>
    <w:qFormat/>
    <w:locked/>
    <w:uiPriority w:val="34"/>
    <w:rPr>
      <w:rFonts w:ascii="Times New Roman" w:hAnsi="Times New Roman" w:eastAsia="Calibri"/>
      <w:szCs w:val="22"/>
      <w:lang w:eastAsia="en-US"/>
    </w:rPr>
  </w:style>
  <w:style w:type="character" w:customStyle="1" w:styleId="160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1">
    <w:name w:val="Heading 2 Char1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5EB14-0B21-4481-B150-359E96F8D6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8</Pages>
  <Words>3120</Words>
  <Characters>18078</Characters>
  <Lines>150</Lines>
  <Paragraphs>42</Paragraphs>
  <TotalTime>0</TotalTime>
  <ScaleCrop>false</ScaleCrop>
  <LinksUpToDate>false</LinksUpToDate>
  <CharactersWithSpaces>20972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2024-04-08T02:29:00Z</dcterms:created>
  <dc:creator>ZTE</dc:creator>
  <cp:lastModifiedBy>ZTE_Wubin</cp:lastModifiedBy>
  <cp:lastPrinted>2019-04-25T01:09:00Z</cp:lastPrinted>
  <dcterms:modified xsi:type="dcterms:W3CDTF">2025-10-03T09:09:33Z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KSOProductBuildVer">
    <vt:lpwstr>2052-11.8.2.12085</vt:lpwstr>
  </property>
  <property fmtid="{D5CDD505-2E9C-101B-9397-08002B2CF9AE}" pid="7" name="ICV">
    <vt:lpwstr>C90953CA9A084B818F5C82058117DB5C</vt:lpwstr>
  </property>
</Properties>
</file>